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eastAsia="宋体"/>
          <w:b/>
          <w:color w:val="000000" w:themeColor="text1"/>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w:t>
      </w:r>
      <w:r>
        <w:rPr>
          <w:rFonts w:hint="eastAsia" w:eastAsia="宋体"/>
          <w:b/>
          <w:color w:val="000000" w:themeColor="text1"/>
          <w:lang w:val="en-US" w:eastAsia="zh-CN"/>
          <w14:textFill>
            <w14:solidFill>
              <w14:schemeClr w14:val="tx1"/>
            </w14:solidFill>
          </w14:textFill>
        </w:rPr>
        <w:t xml:space="preserve"> Meeting </w:t>
      </w:r>
      <w:bookmarkStart w:id="4" w:name="_GoBack"/>
      <w:bookmarkEnd w:id="4"/>
      <w:r>
        <w:rPr>
          <w:b/>
          <w:color w:val="000000" w:themeColor="text1"/>
          <w14:textFill>
            <w14:solidFill>
              <w14:schemeClr w14:val="tx1"/>
            </w14:solidFill>
          </w14:textFill>
        </w:rPr>
        <w:t>#12</w:t>
      </w:r>
      <w:r>
        <w:rPr>
          <w:rFonts w:hint="eastAsia" w:eastAsia="宋体"/>
          <w:b/>
          <w:color w:val="000000" w:themeColor="text1"/>
          <w14:textFill>
            <w14:solidFill>
              <w14:schemeClr w14:val="tx1"/>
            </w14:solidFill>
          </w14:textFill>
        </w:rPr>
        <w:t>6</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w:t>
      </w:r>
      <w:r>
        <w:rPr>
          <w:rFonts w:hint="eastAsia" w:eastAsia="宋体"/>
          <w:b/>
          <w:color w:val="000000" w:themeColor="text1"/>
          <w14:textFill>
            <w14:solidFill>
              <w14:schemeClr w14:val="tx1"/>
            </w14:solidFill>
          </w14:textFill>
        </w:rPr>
        <w:t>2405030</w:t>
      </w:r>
    </w:p>
    <w:p>
      <w:pPr>
        <w:pStyle w:val="56"/>
        <w:jc w:val="left"/>
        <w:rPr>
          <w:rFonts w:eastAsia="宋体" w:cs="Arial"/>
          <w:sz w:val="20"/>
        </w:rPr>
      </w:pPr>
      <w:r>
        <w:rPr>
          <w:rFonts w:hint="eastAsia" w:cs="Arial"/>
          <w:sz w:val="20"/>
        </w:rPr>
        <w:t xml:space="preserve">Fukuoka, Japan, </w:t>
      </w:r>
      <w:r>
        <w:rPr>
          <w:rFonts w:hint="eastAsia" w:eastAsia="宋体" w:cs="Arial"/>
          <w:sz w:val="20"/>
        </w:rPr>
        <w:t>May</w:t>
      </w:r>
      <w:r>
        <w:rPr>
          <w:rFonts w:hint="eastAsia" w:cs="Arial"/>
          <w:sz w:val="20"/>
        </w:rPr>
        <w:t xml:space="preserve"> </w:t>
      </w:r>
      <w:r>
        <w:rPr>
          <w:rFonts w:hint="eastAsia" w:eastAsia="宋体" w:cs="Arial"/>
          <w:sz w:val="20"/>
        </w:rPr>
        <w:t>20</w:t>
      </w:r>
      <w:r>
        <w:rPr>
          <w:rFonts w:hint="eastAsia" w:cs="Arial"/>
          <w:sz w:val="20"/>
          <w:vertAlign w:val="superscript"/>
        </w:rPr>
        <w:t>th</w:t>
      </w:r>
      <w:r>
        <w:rPr>
          <w:rFonts w:hint="eastAsia" w:cs="Arial"/>
          <w:sz w:val="20"/>
        </w:rPr>
        <w:t>–</w:t>
      </w:r>
      <w:r>
        <w:rPr>
          <w:rFonts w:hint="eastAsia" w:eastAsia="宋体" w:cs="Arial"/>
          <w:sz w:val="20"/>
        </w:rPr>
        <w:t>24</w:t>
      </w:r>
      <w:r>
        <w:rPr>
          <w:rFonts w:hint="eastAsia" w:cs="Arial"/>
          <w:sz w:val="20"/>
          <w:vertAlign w:val="superscript"/>
        </w:rPr>
        <w:t>th</w:t>
      </w:r>
      <w:r>
        <w:rPr>
          <w:rFonts w:hint="eastAsia" w:cs="Arial"/>
          <w:sz w:val="20"/>
        </w:rPr>
        <w:t>, 202</w:t>
      </w:r>
      <w:r>
        <w:rPr>
          <w:rFonts w:hint="eastAsia" w:eastAsia="宋体" w:cs="Arial"/>
          <w:sz w:val="20"/>
        </w:rPr>
        <w:t>4</w:t>
      </w:r>
    </w:p>
    <w:p>
      <w:pPr>
        <w:pStyle w:val="56"/>
        <w:jc w:val="left"/>
        <w:rPr>
          <w:rFonts w:eastAsia="宋体"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eastAsia" w:eastAsia="宋体" w:cs="Arial"/>
          <w:color w:val="000000" w:themeColor="text1"/>
          <w:sz w:val="20"/>
          <w14:textFill>
            <w14:solidFill>
              <w14:schemeClr w14:val="tx1"/>
            </w14:solidFill>
          </w14:textFill>
        </w:rPr>
        <w:t>8.2.4</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eastAsia="宋体"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eastAsia" w:eastAsia="宋体" w:cs="Arial"/>
          <w:color w:val="000000" w:themeColor="text1"/>
          <w:sz w:val="20"/>
          <w14:textFill>
            <w14:solidFill>
              <w14:schemeClr w14:val="tx1"/>
            </w14:solidFill>
          </w14:textFill>
        </w:rPr>
        <w:t>Discussion</w:t>
      </w:r>
      <w:r>
        <w:rPr>
          <w:rFonts w:cs="Arial"/>
          <w:color w:val="000000" w:themeColor="text1"/>
          <w:sz w:val="20"/>
          <w14:textFill>
            <w14:solidFill>
              <w14:schemeClr w14:val="tx1"/>
            </w14:solidFill>
          </w14:textFill>
        </w:rPr>
        <w:t xml:space="preserve"> on</w:t>
      </w:r>
      <w:r>
        <w:rPr>
          <w:rFonts w:hint="eastAsia" w:eastAsia="宋体" w:cs="Arial"/>
          <w:color w:val="000000" w:themeColor="text1"/>
          <w:sz w:val="20"/>
          <w14:textFill>
            <w14:solidFill>
              <w14:schemeClr w14:val="tx1"/>
            </w14:solidFill>
          </w14:textFill>
        </w:rPr>
        <w:t xml:space="preserve"> A-IoT paging</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w:t>
      </w:r>
      <w:r>
        <w:rPr>
          <w:rFonts w:hint="eastAsia" w:cs="Arial" w:eastAsiaTheme="minorEastAsia"/>
          <w:color w:val="000000" w:themeColor="text1"/>
          <w:sz w:val="20"/>
          <w14:textFill>
            <w14:solidFill>
              <w14:schemeClr w14:val="tx1"/>
            </w14:solidFill>
          </w14:textFill>
        </w:rPr>
        <w:t xml:space="preserve"> </w:t>
      </w:r>
    </w:p>
    <w:p>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pPr>
        <w:pStyle w:val="54"/>
        <w:ind w:left="0" w:firstLine="0"/>
      </w:pPr>
      <w:r>
        <w:rPr>
          <w:rFonts w:hint="eastAsia"/>
        </w:rPr>
        <w:t>In RAN2#125bis meeting, some progress are made for A-IoT paging as following:</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spacing w:after="0"/>
              <w:rPr>
                <w:rFonts w:eastAsiaTheme="minorEastAsia"/>
                <w:b/>
                <w:bCs/>
              </w:rPr>
            </w:pPr>
            <w:r>
              <w:rPr>
                <w:rFonts w:hint="eastAsia" w:eastAsiaTheme="minorEastAsia"/>
                <w:b/>
                <w:bCs/>
              </w:rPr>
              <w:t>Agreements</w:t>
            </w:r>
          </w:p>
          <w:p>
            <w:pPr>
              <w:spacing w:after="0"/>
              <w:rPr>
                <w:rFonts w:eastAsiaTheme="minorEastAsia"/>
              </w:rPr>
            </w:pPr>
            <w:r>
              <w:rPr>
                <w:rFonts w:hint="eastAsia" w:eastAsiaTheme="minorEastAsia"/>
              </w:rPr>
              <w:t xml:space="preserve">1.Legacy paging message for device will not be supported.  </w:t>
            </w:r>
          </w:p>
          <w:p>
            <w:pPr>
              <w:spacing w:after="0"/>
              <w:rPr>
                <w:rFonts w:eastAsiaTheme="minorEastAsia"/>
              </w:rPr>
            </w:pPr>
            <w:r>
              <w:rPr>
                <w:rFonts w:hint="eastAsia" w:eastAsiaTheme="minorEastAsia"/>
              </w:rPr>
              <w:t>2.Legacy paging occasion and legacy DRX for the device is not supported.  This doesn</w:t>
            </w:r>
            <w:r>
              <w:rPr>
                <w:rFonts w:eastAsiaTheme="minorEastAsia"/>
              </w:rPr>
              <w:t>’</w:t>
            </w:r>
            <w:r>
              <w:rPr>
                <w:rFonts w:hint="eastAsia" w:eastAsiaTheme="minorEastAsia"/>
              </w:rPr>
              <w:t>t preclude solutions that address device monitoring (taking into account discussions from RAN1 as well).</w:t>
            </w:r>
          </w:p>
          <w:p>
            <w:pPr>
              <w:spacing w:after="0"/>
              <w:rPr>
                <w:rFonts w:eastAsiaTheme="minorEastAsia"/>
              </w:rPr>
            </w:pPr>
            <w:r>
              <w:rPr>
                <w:rFonts w:hint="eastAsia" w:eastAsiaTheme="minorEastAsia"/>
              </w:rPr>
              <w:t xml:space="preserve">3.RAN2 assumes that the device will not support tracking/RAN area update procedure.    </w:t>
            </w:r>
          </w:p>
          <w:p>
            <w:pPr>
              <w:spacing w:after="0"/>
              <w:rPr>
                <w:rFonts w:eastAsiaTheme="minorEastAsia"/>
              </w:rPr>
            </w:pPr>
            <w:r>
              <w:rPr>
                <w:rFonts w:hint="eastAsia" w:eastAsiaTheme="minorEastAsia"/>
              </w:rPr>
              <w:t>4.For the case of reaching single or group of devices, an identifier may be required to identify the device/group of devices in the trigger message.    FFS pending the details from SA2</w:t>
            </w:r>
          </w:p>
        </w:tc>
      </w:tr>
    </w:tbl>
    <w:p>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eastAsia="zh-CN"/>
          <w14:textFill>
            <w14:solidFill>
              <w14:schemeClr w14:val="tx1"/>
            </w14:solidFill>
          </w14:textFill>
        </w:rPr>
        <w:t>remaining issues for A-IoT paging</w:t>
      </w:r>
      <w:r>
        <w:rPr>
          <w:rFonts w:cs="Arial" w:eastAsiaTheme="minorEastAsia"/>
          <w:bCs/>
          <w:color w:val="000000" w:themeColor="text1"/>
          <w:lang w:eastAsia="zh-CN"/>
          <w14:textFill>
            <w14:solidFill>
              <w14:schemeClr w14:val="tx1"/>
            </w14:solidFill>
          </w14:textFill>
        </w:rPr>
        <w:t xml:space="preserve">. </w:t>
      </w:r>
    </w:p>
    <w:p>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pPr>
        <w:keepNext/>
        <w:keepLines/>
        <w:tabs>
          <w:tab w:val="left" w:pos="432"/>
          <w:tab w:val="left" w:pos="567"/>
        </w:tabs>
        <w:spacing w:before="120"/>
        <w:outlineLvl w:val="1"/>
        <w:rPr>
          <w:rFonts w:cs="Arial" w:eastAsiaTheme="minorEastAsia"/>
          <w:color w:val="000000" w:themeColor="text1"/>
          <w14:textFill>
            <w14:solidFill>
              <w14:schemeClr w14:val="tx1"/>
            </w14:solidFill>
          </w14:textFill>
        </w:rPr>
      </w:pPr>
      <w:r>
        <w:rPr>
          <w:rFonts w:hint="eastAsia" w:eastAsia="宋体"/>
          <w:sz w:val="24"/>
          <w:szCs w:val="24"/>
          <w:lang w:val="en-GB"/>
        </w:rPr>
        <w:t>2</w:t>
      </w:r>
      <w:r>
        <w:rPr>
          <w:rFonts w:eastAsia="宋体"/>
          <w:sz w:val="24"/>
          <w:szCs w:val="24"/>
          <w:lang w:val="en-GB"/>
        </w:rPr>
        <w:t xml:space="preserve">.1 </w:t>
      </w:r>
      <w:r>
        <w:rPr>
          <w:rFonts w:hint="eastAsia" w:eastAsia="宋体"/>
          <w:sz w:val="24"/>
          <w:szCs w:val="24"/>
        </w:rPr>
        <w:t>Background （RFID design）</w:t>
      </w:r>
    </w:p>
    <w:p>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 xml:space="preserve">There are three basic command sets defined in radio-frequency identification (RFID) [1], shown as: </w:t>
      </w:r>
    </w:p>
    <w:p>
      <w:pPr>
        <w:pStyle w:val="61"/>
        <w:numPr>
          <w:ilvl w:val="0"/>
          <w:numId w:val="11"/>
        </w:numPr>
        <w:spacing w:after="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Select command set: The Select command is a mandatory command, which is used for the reader to select a group of tags. The Challenge command, as an optional command, can instruct the tags to precompute and store one or more encrypted values.</w:t>
      </w:r>
    </w:p>
    <w:p>
      <w:pPr>
        <w:pStyle w:val="61"/>
        <w:numPr>
          <w:ilvl w:val="0"/>
          <w:numId w:val="11"/>
        </w:numPr>
        <w:spacing w:after="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 xml:space="preserve">Inventory command set: This command set includes multiple commands applied to the inventory process. Among them, the Query command marks the beginning of a round of inventory process. The QueryRep command is used to indicate the tags to decrement the value of slot counter, and ACK command is to </w:t>
      </w:r>
      <w:r>
        <w:rPr>
          <w:rFonts w:cs="Arial" w:eastAsiaTheme="minorEastAsia"/>
        </w:rPr>
        <w:t>acknowledge a single tag</w:t>
      </w:r>
      <w:r>
        <w:rPr>
          <w:rFonts w:hint="eastAsia" w:cs="Arial" w:eastAsiaTheme="minorEastAsia"/>
          <w:lang w:eastAsia="zh-CN"/>
        </w:rPr>
        <w:t>.</w:t>
      </w:r>
    </w:p>
    <w:p>
      <w:pPr>
        <w:pStyle w:val="61"/>
        <w:numPr>
          <w:ilvl w:val="0"/>
          <w:numId w:val="11"/>
        </w:numPr>
        <w:spacing w:after="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Access command set: This command set includes multiple commands, which communicate with and operate certain tag, such as: Read, Write, Kill, Lock, etc.</w:t>
      </w:r>
    </w:p>
    <w:p>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The signaling interaction in the inventory and access process is shown in Figure 1.</w:t>
      </w:r>
    </w:p>
    <w:p>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object>
          <v:shape id="_x0000_i1025" o:spt="75" type="#_x0000_t75" style="height:121pt;width:481.5pt;" o:ole="t" filled="f" o:preferrelative="t" stroked="f" coordsize="21600,21600">
            <v:path/>
            <v:fill on="f" focussize="0,0"/>
            <v:stroke on="f" joinstyle="miter"/>
            <v:imagedata r:id="rId12" o:title=""/>
            <o:lock v:ext="edit" aspectratio="f"/>
            <w10:wrap type="none"/>
            <w10:anchorlock/>
          </v:shape>
          <o:OLEObject Type="Embed" ProgID="Visio.Drawing.15" ShapeID="_x0000_i1025" DrawAspect="Content" ObjectID="_1468075725" r:id="rId11">
            <o:LockedField>false</o:LockedField>
          </o:OLEObject>
        </w:object>
      </w:r>
    </w:p>
    <w:p>
      <w:pPr>
        <w:pStyle w:val="61"/>
        <w:spacing w:after="0"/>
        <w:ind w:left="0" w:firstLine="0"/>
        <w:jc w:val="center"/>
        <w:rPr>
          <w:rFonts w:hint="default" w:eastAsia="宋体" w:cs="Arial"/>
          <w:color w:val="000000" w:themeColor="text1"/>
          <w:lang w:val="en-US" w:eastAsia="zh-CN"/>
          <w14:textFill>
            <w14:solidFill>
              <w14:schemeClr w14:val="tx1"/>
            </w14:solidFill>
          </w14:textFill>
        </w:rPr>
      </w:pPr>
      <w:r>
        <w:rPr>
          <w:rFonts w:cs="Arial"/>
          <w:b/>
          <w:bCs/>
        </w:rPr>
        <w:t>Figure 1: Illustration of an inventory</w:t>
      </w:r>
      <w:r>
        <w:rPr>
          <w:rFonts w:hint="eastAsia" w:eastAsia="宋体" w:cs="Arial"/>
          <w:b/>
          <w:bCs/>
          <w:lang w:eastAsia="zh-CN"/>
        </w:rPr>
        <w:t xml:space="preserve"> and access</w:t>
      </w:r>
      <w:r>
        <w:rPr>
          <w:rFonts w:cs="Arial"/>
          <w:b/>
          <w:bCs/>
        </w:rPr>
        <w:t xml:space="preserve"> process</w:t>
      </w:r>
      <w:r>
        <w:rPr>
          <w:rFonts w:hint="eastAsia" w:eastAsia="宋体" w:cs="Arial"/>
          <w:b/>
          <w:bCs/>
          <w:lang w:eastAsia="zh-CN"/>
        </w:rPr>
        <w:t xml:space="preserve"> in RFID</w:t>
      </w:r>
    </w:p>
    <w:p>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From Fig.1, it can be found that the paging-like functionality in RFID is achieved with the Select command and Query command. Specifically, the reader can set the selected flags/inventoried flags of a group of tags with Select command. Subsequently, the Query command is transmitted by the reader, tags with matched selected flag/inventoried flag and session will randomly select a slot to response based on the Q in Query. In other words, it can be considered that the reader groups the tags with Select and allocates resources for the specified group of tags with Query. Besides, it can also be found that the access command is always transmitted by the reader after the Tag ID is received successfully, that is, the command procedure to one Tag is always right after the successfully inventorying it.</w:t>
      </w:r>
    </w:p>
    <w:p>
      <w:pPr>
        <w:snapToGrid w:val="0"/>
        <w:spacing w:before="180" w:beforeLines="50" w:line="288" w:lineRule="auto"/>
        <w:rPr>
          <w:rFonts w:eastAsia="宋体" w:cs="Arial"/>
          <w:b/>
          <w:bCs/>
          <w:szCs w:val="21"/>
        </w:rPr>
      </w:pPr>
      <w:r>
        <w:rPr>
          <w:rFonts w:hint="eastAsia" w:cs="Arial"/>
          <w:b/>
          <w:bCs/>
          <w:szCs w:val="21"/>
        </w:rPr>
        <w:t>O</w:t>
      </w:r>
      <w:r>
        <w:rPr>
          <w:rFonts w:cs="Arial"/>
          <w:b/>
          <w:bCs/>
          <w:szCs w:val="21"/>
        </w:rPr>
        <w:t xml:space="preserve">bservation 1: </w:t>
      </w:r>
      <w:r>
        <w:rPr>
          <w:rFonts w:hint="eastAsia" w:eastAsia="宋体" w:cs="Arial"/>
          <w:b/>
          <w:bCs/>
          <w:szCs w:val="21"/>
        </w:rPr>
        <w:t>T</w:t>
      </w:r>
      <w:r>
        <w:rPr>
          <w:rFonts w:hint="eastAsia" w:cs="Arial"/>
          <w:b/>
          <w:bCs/>
          <w:szCs w:val="21"/>
        </w:rPr>
        <w:t>he paging-like functionality in RFID is achieved with the Select command and Query command.</w:t>
      </w:r>
      <w:r>
        <w:rPr>
          <w:rFonts w:hint="eastAsia" w:eastAsia="宋体" w:cs="Arial"/>
          <w:b/>
          <w:bCs/>
          <w:szCs w:val="21"/>
        </w:rPr>
        <w:t xml:space="preserve"> The reader groups the tags with Select and allocates resources for the specified group of tags with Query.</w:t>
      </w:r>
    </w:p>
    <w:p>
      <w:pPr>
        <w:snapToGrid w:val="0"/>
        <w:spacing w:before="180" w:beforeLines="50" w:line="288" w:lineRule="auto"/>
        <w:rPr>
          <w:rFonts w:eastAsia="宋体" w:cs="Arial"/>
          <w:b/>
          <w:bCs/>
          <w:szCs w:val="21"/>
        </w:rPr>
      </w:pPr>
      <w:r>
        <w:rPr>
          <w:rFonts w:hint="eastAsia" w:eastAsia="宋体" w:cs="Arial"/>
          <w:b/>
          <w:bCs/>
          <w:szCs w:val="21"/>
        </w:rPr>
        <w:t>Observation 2: In RFID, the command procedure to one Tag is always right after the successfully inventorying it.</w:t>
      </w:r>
    </w:p>
    <w:p>
      <w:pPr>
        <w:pStyle w:val="61"/>
        <w:spacing w:after="0"/>
        <w:ind w:left="0" w:firstLine="0"/>
        <w:jc w:val="both"/>
        <w:rPr>
          <w:rFonts w:cs="Arial" w:eastAsiaTheme="minorEastAsia"/>
          <w:color w:val="000000" w:themeColor="text1"/>
          <w:lang w:eastAsia="zh-CN"/>
          <w14:textFill>
            <w14:solidFill>
              <w14:schemeClr w14:val="tx1"/>
            </w14:solidFill>
          </w14:textFill>
        </w:rPr>
      </w:pPr>
    </w:p>
    <w:p>
      <w:pPr>
        <w:keepNext/>
        <w:keepLines/>
        <w:tabs>
          <w:tab w:val="left" w:pos="432"/>
          <w:tab w:val="left" w:pos="567"/>
        </w:tabs>
        <w:spacing w:before="120"/>
        <w:outlineLvl w:val="1"/>
        <w:rPr>
          <w:rFonts w:eastAsia="宋体"/>
          <w:sz w:val="24"/>
          <w:szCs w:val="24"/>
        </w:rPr>
      </w:pPr>
      <w:r>
        <w:rPr>
          <w:rFonts w:hint="eastAsia" w:eastAsia="宋体"/>
          <w:sz w:val="24"/>
          <w:szCs w:val="24"/>
          <w:lang w:val="en-GB"/>
        </w:rPr>
        <w:t>2.</w:t>
      </w:r>
      <w:r>
        <w:rPr>
          <w:rFonts w:hint="eastAsia" w:eastAsia="宋体"/>
          <w:sz w:val="24"/>
          <w:szCs w:val="24"/>
        </w:rPr>
        <w:t>2</w:t>
      </w:r>
      <w:r>
        <w:rPr>
          <w:rFonts w:hint="eastAsia" w:eastAsia="宋体"/>
          <w:sz w:val="24"/>
          <w:szCs w:val="24"/>
          <w:lang w:val="en-GB"/>
        </w:rPr>
        <w:t xml:space="preserve"> </w:t>
      </w:r>
      <w:r>
        <w:rPr>
          <w:rFonts w:hint="eastAsia" w:eastAsia="宋体"/>
          <w:sz w:val="24"/>
          <w:szCs w:val="24"/>
        </w:rPr>
        <w:t>A-IoT paging</w:t>
      </w:r>
    </w:p>
    <w:p>
      <w:pPr>
        <w:pStyle w:val="61"/>
        <w:ind w:left="0" w:firstLine="0"/>
        <w:outlineLvl w:val="2"/>
        <w:rPr>
          <w:rFonts w:eastAsia="宋体"/>
          <w:lang w:eastAsia="zh-CN"/>
        </w:rPr>
      </w:pPr>
      <w:r>
        <w:rPr>
          <w:rFonts w:hint="eastAsia" w:eastAsia="宋体"/>
          <w:lang w:eastAsia="zh-CN"/>
        </w:rPr>
        <w:t>2.2.1 General analysis</w:t>
      </w:r>
    </w:p>
    <w:p>
      <w:pPr>
        <w:keepNext/>
        <w:keepLines/>
        <w:tabs>
          <w:tab w:val="left" w:pos="432"/>
          <w:tab w:val="left" w:pos="567"/>
        </w:tabs>
        <w:spacing w:before="120" w:after="0"/>
        <w:rPr>
          <w:rFonts w:eastAsia="宋体"/>
        </w:rPr>
      </w:pPr>
      <w:r>
        <w:rPr>
          <w:rFonts w:hint="eastAsia" w:eastAsia="宋体"/>
        </w:rPr>
        <w:t>It is agreed by RAN1 that the following terminologies are used for study [2]</w:t>
      </w:r>
      <w:r>
        <w:rPr>
          <w:rFonts w:eastAsia="宋体"/>
        </w:rPr>
        <w:t>:</w:t>
      </w:r>
    </w:p>
    <w:tbl>
      <w:tblPr>
        <w:tblStyle w:val="46"/>
        <w:tblpPr w:leftFromText="181" w:rightFromText="181" w:vertAnchor="text" w:horzAnchor="margin" w:tblpXSpec="center" w:tblpY="27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8" w:type="dxa"/>
          </w:tcPr>
          <w:p>
            <w:pPr>
              <w:spacing w:after="0"/>
            </w:pPr>
            <w:r>
              <w:rPr>
                <w:bCs/>
              </w:rPr>
              <w:t>Agreement</w:t>
            </w:r>
          </w:p>
          <w:p>
            <w:pPr>
              <w:spacing w:after="0"/>
            </w:pPr>
            <w:r>
              <w:t>For the purpose of the study, RAN1 uses the following terminologies:</w:t>
            </w:r>
          </w:p>
          <w:p>
            <w:pPr>
              <w:widowControl w:val="0"/>
              <w:numPr>
                <w:ilvl w:val="0"/>
                <w:numId w:val="12"/>
              </w:numPr>
              <w:spacing w:after="0"/>
              <w:ind w:left="714" w:hanging="357"/>
            </w:pPr>
            <w:r>
              <w:rPr>
                <w:b/>
                <w:bCs/>
              </w:rPr>
              <w:t>Device 1</w:t>
            </w:r>
            <w:r>
              <w:t>: ~1 µW peak power consumption, has energy storage, initial sampling frequency offset (SFO) up to 10</w:t>
            </w:r>
            <w:r>
              <w:rPr>
                <w:vertAlign w:val="superscript"/>
              </w:rPr>
              <w:t>X</w:t>
            </w:r>
            <w:r>
              <w:t xml:space="preserve"> ppm, neither DL nor UL amplification in the device. The device’s UL transmission is backscattered on a carrier wave provided externally.</w:t>
            </w:r>
          </w:p>
          <w:p>
            <w:pPr>
              <w:widowControl w:val="0"/>
              <w:numPr>
                <w:ilvl w:val="0"/>
                <w:numId w:val="12"/>
              </w:numPr>
              <w:spacing w:after="0"/>
              <w:ind w:left="714" w:hanging="357"/>
            </w:pPr>
            <w:r>
              <w:rPr>
                <w:b/>
                <w:bCs/>
              </w:rPr>
              <w:t>Device 2a</w:t>
            </w:r>
            <w:r>
              <w:t>:</w:t>
            </w:r>
            <w:r>
              <w:rPr>
                <w:rFonts w:hint="eastAsia"/>
              </w:rPr>
              <w:t xml:space="preserve"> ≤ a few hundred µW peak power consumption, has energy storage, initial sampling frequency offset (SFO) up to 10</w:t>
            </w:r>
            <w:r>
              <w:rPr>
                <w:rFonts w:hint="eastAsia"/>
                <w:vertAlign w:val="superscript"/>
              </w:rPr>
              <w:t>X</w:t>
            </w:r>
            <w:r>
              <w:rPr>
                <w:rFonts w:hint="eastAsia"/>
              </w:rPr>
              <w:t xml:space="preserve"> ppm, both DL and/or UL amplification in the device. The device’s UL transmission </w:t>
            </w:r>
            <w:r>
              <w:t>is</w:t>
            </w:r>
            <w:r>
              <w:rPr>
                <w:rFonts w:hint="eastAsia"/>
              </w:rPr>
              <w:t xml:space="preserve"> backscattere</w:t>
            </w:r>
            <w:r>
              <w:t>d on a carrier wave provided externally.</w:t>
            </w:r>
          </w:p>
          <w:p>
            <w:pPr>
              <w:widowControl w:val="0"/>
              <w:numPr>
                <w:ilvl w:val="0"/>
                <w:numId w:val="12"/>
              </w:numPr>
              <w:spacing w:after="0"/>
              <w:ind w:left="714" w:hanging="357"/>
              <w:rPr>
                <w:rFonts w:eastAsiaTheme="minorEastAsia"/>
              </w:rPr>
            </w:pPr>
            <w:r>
              <w:rPr>
                <w:b/>
                <w:bCs/>
              </w:rPr>
              <w:t>Device 2b</w:t>
            </w:r>
            <w:r>
              <w:t xml:space="preserve">: </w:t>
            </w:r>
            <w:r>
              <w:rPr>
                <w:rFonts w:hint="eastAsia"/>
              </w:rPr>
              <w:t>≤ a few hundred µW peak power consumption, has energy storage, initial sampling frequency offset (SFO) up to 10</w:t>
            </w:r>
            <w:r>
              <w:rPr>
                <w:rFonts w:hint="eastAsia"/>
                <w:vertAlign w:val="superscript"/>
              </w:rPr>
              <w:t>X</w:t>
            </w:r>
            <w:r>
              <w:rPr>
                <w:rFonts w:hint="eastAsia"/>
              </w:rPr>
              <w:t xml:space="preserve"> ppm, both DL and/or UL amplification in the device. The device’s UL transmission </w:t>
            </w:r>
            <w:r>
              <w:t>is</w:t>
            </w:r>
            <w:r>
              <w:rPr>
                <w:rFonts w:hint="eastAsia"/>
              </w:rPr>
              <w:t xml:space="preserve"> generated internally by the device</w:t>
            </w:r>
            <w:r>
              <w:t>.</w:t>
            </w:r>
          </w:p>
        </w:tc>
      </w:tr>
    </w:tbl>
    <w:p>
      <w:pPr>
        <w:keepNext/>
        <w:keepLines/>
        <w:tabs>
          <w:tab w:val="left" w:pos="432"/>
          <w:tab w:val="left" w:pos="567"/>
        </w:tabs>
        <w:spacing w:before="120"/>
        <w:rPr>
          <w:rFonts w:eastAsia="宋体"/>
        </w:rPr>
      </w:pPr>
      <w:r>
        <w:rPr>
          <w:rFonts w:hint="eastAsia" w:eastAsia="宋体"/>
        </w:rPr>
        <w:t>It can be seen that the peak power and capabilities of Ambient IoT devices is much lower than that of NR UEs, but close to that of UHF RFID tags. Therefore, paging-like commands in RFID which are shown in</w:t>
      </w:r>
      <w:r>
        <w:rPr>
          <w:rFonts w:hint="eastAsia" w:eastAsia="宋体"/>
          <w:b/>
          <w:bCs/>
        </w:rPr>
        <w:t xml:space="preserve"> Observation 1</w:t>
      </w:r>
      <w:r>
        <w:rPr>
          <w:rFonts w:hint="eastAsia" w:eastAsia="宋体"/>
        </w:rPr>
        <w:t xml:space="preserve">, can serve as a basic reference for designing A-IoT paging. </w:t>
      </w:r>
    </w:p>
    <w:p>
      <w:pPr>
        <w:snapToGrid w:val="0"/>
        <w:spacing w:before="180" w:beforeLines="50" w:line="288" w:lineRule="auto"/>
        <w:rPr>
          <w:rFonts w:eastAsia="宋体" w:cs="Arial"/>
          <w:b/>
          <w:bCs/>
          <w:szCs w:val="21"/>
        </w:rPr>
      </w:pPr>
      <w:r>
        <w:rPr>
          <w:rFonts w:hint="eastAsia" w:eastAsia="宋体" w:cs="Arial"/>
          <w:b/>
          <w:bCs/>
          <w:szCs w:val="21"/>
        </w:rPr>
        <w:t>Observation 3: P</w:t>
      </w:r>
      <w:r>
        <w:rPr>
          <w:rFonts w:hint="eastAsia" w:eastAsia="宋体"/>
          <w:b/>
          <w:bCs/>
        </w:rPr>
        <w:t>aging-like commands in RFID which includes Select command and Query command can serve as a basic reference when designing A-IoT paging</w:t>
      </w:r>
      <w:r>
        <w:rPr>
          <w:rFonts w:hint="eastAsia" w:eastAsia="宋体" w:cs="Arial"/>
          <w:b/>
          <w:bCs/>
          <w:szCs w:val="21"/>
        </w:rPr>
        <w:t>.</w:t>
      </w:r>
    </w:p>
    <w:p>
      <w:pPr>
        <w:snapToGrid w:val="0"/>
        <w:spacing w:before="180" w:beforeLines="50" w:line="288" w:lineRule="auto"/>
        <w:rPr>
          <w:rFonts w:eastAsia="宋体" w:cs="Arial"/>
          <w:b/>
          <w:bCs/>
          <w:szCs w:val="21"/>
        </w:rPr>
      </w:pPr>
    </w:p>
    <w:p>
      <w:pPr>
        <w:pStyle w:val="61"/>
        <w:ind w:left="0" w:firstLine="0"/>
        <w:outlineLvl w:val="2"/>
        <w:rPr>
          <w:rFonts w:eastAsia="宋体"/>
          <w:lang w:eastAsia="zh-CN"/>
        </w:rPr>
      </w:pPr>
      <w:r>
        <w:rPr>
          <w:rFonts w:hint="eastAsia" w:eastAsia="宋体"/>
          <w:lang w:eastAsia="zh-CN"/>
        </w:rPr>
        <w:t>2.2.2 Functionality</w:t>
      </w:r>
    </w:p>
    <w:p>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In RAN2#125bis meeting, it is agreed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4"/>
              <w:ind w:left="0" w:firstLine="0"/>
            </w:pPr>
            <w:r>
              <w:rPr>
                <w:rFonts w:hint="eastAsia" w:eastAsia="宋体"/>
              </w:rPr>
              <w:t>1.</w:t>
            </w:r>
            <w:r>
              <w:t>RAN2 will support two use cases, “inventory” and “command”.  The definition, detailed wording is FFS</w:t>
            </w:r>
          </w:p>
          <w:p>
            <w:pPr>
              <w:pStyle w:val="54"/>
              <w:ind w:left="0" w:firstLine="0"/>
            </w:pPr>
            <w:r>
              <w:rPr>
                <w:rFonts w:hint="eastAsia" w:eastAsia="宋体"/>
              </w:rPr>
              <w:t>2.</w:t>
            </w:r>
            <w:r>
              <w:t>Baseline procedure:</w:t>
            </w:r>
          </w:p>
          <w:p>
            <w:pPr>
              <w:pStyle w:val="54"/>
              <w:ind w:left="901" w:firstLine="0"/>
            </w:pPr>
            <w:r>
              <w:t>Step A: Based on the service request, the reader sends the Initial Trigger Message indicating device(s) that need to respond; Details FFS</w:t>
            </w:r>
          </w:p>
          <w:p>
            <w:pPr>
              <w:pStyle w:val="54"/>
              <w:ind w:left="901" w:firstLine="0"/>
            </w:pPr>
            <w:r>
              <w:t>Step B: Triggered device(s) performs the random access-like procedure, if needed; Details FFS</w:t>
            </w:r>
          </w:p>
          <w:p>
            <w:pPr>
              <w:pStyle w:val="54"/>
              <w:ind w:left="901" w:firstLine="0"/>
            </w:pPr>
            <w:r>
              <w:t>Step C: The device may perform the data communication with the reader as needed,: Details FFS</w:t>
            </w:r>
          </w:p>
          <w:p>
            <w:pPr>
              <w:pStyle w:val="54"/>
              <w:ind w:left="0" w:firstLine="0"/>
            </w:pPr>
            <w:r>
              <w:rPr>
                <w:rFonts w:hint="eastAsia" w:eastAsia="宋体"/>
              </w:rPr>
              <w:t>3.</w:t>
            </w:r>
            <w:r>
              <w:t xml:space="preserve">We will study the support of both “inventory” and “command” in the same procedure.  </w:t>
            </w:r>
          </w:p>
          <w:p>
            <w:pPr>
              <w:pStyle w:val="54"/>
              <w:ind w:left="0" w:firstLine="0"/>
              <w:rPr>
                <w:rFonts w:cs="Arial" w:eastAsiaTheme="minorEastAsia"/>
                <w:color w:val="000000" w:themeColor="text1"/>
                <w14:textFill>
                  <w14:solidFill>
                    <w14:schemeClr w14:val="tx1"/>
                  </w14:solidFill>
                </w14:textFill>
              </w:rPr>
            </w:pPr>
            <w:r>
              <w:rPr>
                <w:rFonts w:hint="eastAsia" w:eastAsia="宋体"/>
              </w:rPr>
              <w:t>4.</w:t>
            </w:r>
            <w:r>
              <w:t xml:space="preserve">FFS if </w:t>
            </w:r>
            <w:r>
              <w:rPr>
                <w:i/>
                <w:iCs/>
              </w:rPr>
              <w:t xml:space="preserve">Initial Trigger Message </w:t>
            </w:r>
            <w:r>
              <w:t xml:space="preserve">can also include “command”.  </w:t>
            </w:r>
          </w:p>
        </w:tc>
      </w:tr>
    </w:tbl>
    <w:p>
      <w:pPr>
        <w:pStyle w:val="61"/>
        <w:spacing w:after="0"/>
        <w:ind w:left="0" w:firstLine="0"/>
        <w:jc w:val="both"/>
        <w:rPr>
          <w:rFonts w:cs="Arial" w:eastAsiaTheme="minorEastAsia"/>
          <w:color w:val="000000" w:themeColor="text1"/>
          <w:lang w:eastAsia="zh-CN"/>
          <w14:textFill>
            <w14:solidFill>
              <w14:schemeClr w14:val="tx1"/>
            </w14:solidFill>
          </w14:textFill>
        </w:rPr>
      </w:pPr>
    </w:p>
    <w:p>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 xml:space="preserve">From our point of view, the A-IoT paging acts as the above initial trigger message in step A of baseline procedure. To this end, A-IoT paging can indicate which device(s) need to response. </w:t>
      </w:r>
      <w:r>
        <w:rPr>
          <w:rFonts w:hint="eastAsia" w:cs="Arial" w:eastAsiaTheme="minorEastAsia"/>
          <w:lang w:eastAsia="zh-CN"/>
        </w:rPr>
        <w:t>Note that as discussed in our another paper [3],</w:t>
      </w:r>
      <w:r>
        <w:rPr>
          <w:rFonts w:hint="eastAsia" w:cs="Arial" w:eastAsiaTheme="minorEastAsia"/>
          <w:color w:val="0000FF"/>
          <w:lang w:eastAsia="zh-CN"/>
        </w:rPr>
        <w:t xml:space="preserve"> </w:t>
      </w:r>
      <w:r>
        <w:rPr>
          <w:rFonts w:hint="eastAsia" w:cs="Arial" w:eastAsiaTheme="minorEastAsia"/>
          <w:color w:val="000000" w:themeColor="text1"/>
          <w:lang w:eastAsia="zh-CN"/>
          <w14:textFill>
            <w14:solidFill>
              <w14:schemeClr w14:val="tx1"/>
            </w14:solidFill>
          </w14:textFill>
        </w:rPr>
        <w:t xml:space="preserve">the command can also be transmitted as A-IoT paging directly, since RAN2 can assume </w:t>
      </w:r>
      <w:r>
        <w:rPr>
          <w:rFonts w:hint="eastAsia"/>
        </w:rPr>
        <w:t>the</w:t>
      </w:r>
      <w:r>
        <w:t xml:space="preserve"> end-to-end protection of </w:t>
      </w:r>
      <w:r>
        <w:rPr>
          <w:rFonts w:hint="eastAsia" w:eastAsia="宋体"/>
          <w:lang w:eastAsia="zh-CN"/>
        </w:rPr>
        <w:t>c</w:t>
      </w:r>
      <w:r>
        <w:t xml:space="preserve">ommands and </w:t>
      </w:r>
      <w:r>
        <w:rPr>
          <w:rFonts w:hint="eastAsia" w:eastAsia="宋体"/>
          <w:lang w:eastAsia="zh-CN"/>
        </w:rPr>
        <w:t>c</w:t>
      </w:r>
      <w:r>
        <w:t xml:space="preserve">ommand </w:t>
      </w:r>
      <w:r>
        <w:rPr>
          <w:rFonts w:hint="eastAsia" w:eastAsia="宋体"/>
          <w:lang w:eastAsia="zh-CN"/>
        </w:rPr>
        <w:t>r</w:t>
      </w:r>
      <w:r>
        <w:t>esults to be addressed by SA3</w:t>
      </w:r>
      <w:r>
        <w:rPr>
          <w:rFonts w:hint="eastAsia" w:eastAsia="宋体"/>
          <w:lang w:eastAsia="zh-CN"/>
        </w:rPr>
        <w:t>.</w:t>
      </w:r>
      <w:r>
        <w:rPr>
          <w:rFonts w:hint="eastAsia" w:cs="Arial" w:eastAsiaTheme="minorEastAsia"/>
          <w:color w:val="000000" w:themeColor="text1"/>
          <w:lang w:eastAsia="zh-CN"/>
          <w14:textFill>
            <w14:solidFill>
              <w14:schemeClr w14:val="tx1"/>
            </w14:solidFill>
          </w14:textFill>
        </w:rPr>
        <w:t xml:space="preserve"> While, whether A-IoT paging is one message or a set of messages which consists two or more messages needs further discussion.</w:t>
      </w:r>
    </w:p>
    <w:p>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b/>
          <w:bCs/>
          <w:szCs w:val="21"/>
        </w:rPr>
        <w:t>Proposal 1: The A-IoT paging can indicate which device(s) need to response.</w:t>
      </w:r>
    </w:p>
    <w:p>
      <w:pPr>
        <w:autoSpaceDE/>
        <w:autoSpaceDN/>
        <w:snapToGrid w:val="0"/>
        <w:spacing w:after="0" w:line="360" w:lineRule="auto"/>
        <w:rPr>
          <w:rFonts w:cs="Arial"/>
          <w:b/>
          <w:bCs/>
          <w:szCs w:val="21"/>
        </w:rPr>
      </w:pPr>
      <w:r>
        <w:rPr>
          <w:rFonts w:hint="eastAsia" w:cs="Arial"/>
          <w:b/>
          <w:bCs/>
          <w:szCs w:val="21"/>
        </w:rPr>
        <w:t>Proposal 2: A-IoT paging may be:</w:t>
      </w:r>
    </w:p>
    <w:p>
      <w:pPr>
        <w:autoSpaceDE/>
        <w:autoSpaceDN/>
        <w:snapToGrid w:val="0"/>
        <w:spacing w:after="0" w:line="360" w:lineRule="auto"/>
        <w:ind w:firstLine="1301" w:firstLineChars="650"/>
        <w:rPr>
          <w:rFonts w:cs="Arial" w:eastAsiaTheme="minorEastAsia"/>
          <w:b/>
          <w:bCs/>
          <w:color w:val="000000" w:themeColor="text1"/>
          <w14:textFill>
            <w14:solidFill>
              <w14:schemeClr w14:val="tx1"/>
            </w14:solidFill>
          </w14:textFill>
        </w:rPr>
      </w:pPr>
      <w:r>
        <w:rPr>
          <w:rFonts w:hint="eastAsia" w:cs="Arial"/>
          <w:b/>
          <w:bCs/>
          <w:szCs w:val="21"/>
        </w:rPr>
        <w:t xml:space="preserve">Option 1: </w:t>
      </w:r>
      <w:r>
        <w:rPr>
          <w:rFonts w:hint="eastAsia" w:cs="Arial" w:eastAsiaTheme="minorEastAsia"/>
          <w:b/>
          <w:bCs/>
          <w:color w:val="000000" w:themeColor="text1"/>
          <w14:textFill>
            <w14:solidFill>
              <w14:schemeClr w14:val="tx1"/>
            </w14:solidFill>
          </w14:textFill>
        </w:rPr>
        <w:t>one message;</w:t>
      </w:r>
    </w:p>
    <w:p>
      <w:pPr>
        <w:autoSpaceDE/>
        <w:autoSpaceDN/>
        <w:snapToGrid w:val="0"/>
        <w:spacing w:after="0" w:line="360" w:lineRule="auto"/>
        <w:ind w:firstLine="1305" w:firstLineChars="650"/>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Option 2: a set of messages which consists two or more messages.</w:t>
      </w:r>
    </w:p>
    <w:p>
      <w:pPr>
        <w:autoSpaceDE/>
        <w:autoSpaceDN/>
        <w:snapToGrid w:val="0"/>
        <w:spacing w:after="0" w:line="360" w:lineRule="auto"/>
        <w:ind w:firstLine="1305" w:firstLineChars="650"/>
        <w:rPr>
          <w:rFonts w:cs="Arial" w:eastAsiaTheme="minorEastAsia"/>
          <w:b/>
          <w:bCs/>
          <w:color w:val="000000" w:themeColor="text1"/>
          <w14:textFill>
            <w14:solidFill>
              <w14:schemeClr w14:val="tx1"/>
            </w14:solidFill>
          </w14:textFill>
        </w:rPr>
      </w:pPr>
    </w:p>
    <w:p>
      <w:pPr>
        <w:pStyle w:val="61"/>
        <w:ind w:left="0" w:firstLine="0"/>
        <w:outlineLvl w:val="2"/>
        <w:rPr>
          <w:rFonts w:eastAsia="宋体"/>
          <w:lang w:eastAsia="zh-CN"/>
        </w:rPr>
      </w:pPr>
      <w:r>
        <w:rPr>
          <w:rFonts w:hint="eastAsia" w:eastAsia="宋体"/>
          <w:lang w:eastAsia="zh-CN"/>
        </w:rPr>
        <w:t>2.2.3 Message content</w:t>
      </w:r>
    </w:p>
    <w:p>
      <w:pPr>
        <w:pStyle w:val="61"/>
        <w:ind w:left="0" w:firstLine="0"/>
        <w:rPr>
          <w:rFonts w:eastAsia="宋体"/>
          <w:lang w:eastAsia="zh-CN"/>
        </w:rPr>
      </w:pPr>
      <w:r>
        <w:rPr>
          <w:rFonts w:hint="eastAsia" w:eastAsia="宋体"/>
          <w:lang w:eastAsia="zh-CN"/>
        </w:rPr>
        <w:t>2.2.3.1  Identifier of target A-IoT device(s)</w:t>
      </w:r>
    </w:p>
    <w:p>
      <w:pPr>
        <w:pStyle w:val="61"/>
        <w:spacing w:after="60"/>
        <w:ind w:left="0" w:firstLine="0"/>
        <w:rPr>
          <w:rFonts w:eastAsia="宋体"/>
          <w:lang w:eastAsia="zh-CN"/>
        </w:rPr>
      </w:pPr>
      <w:r>
        <w:rPr>
          <w:rFonts w:hint="eastAsia" w:eastAsia="宋体"/>
          <w:lang w:eastAsia="zh-CN"/>
        </w:rPr>
        <w:t>In RAN2#125-bis meeting, it has been agreed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1"/>
              <w:spacing w:after="60"/>
              <w:ind w:left="0" w:firstLine="0"/>
              <w:rPr>
                <w:rFonts w:eastAsia="宋体"/>
                <w:lang w:eastAsia="zh-CN"/>
              </w:rPr>
            </w:pPr>
            <w:r>
              <w:rPr>
                <w:rFonts w:hint="eastAsia" w:eastAsia="宋体"/>
                <w:lang w:eastAsia="zh-CN"/>
              </w:rPr>
              <w:t>1.</w:t>
            </w:r>
            <w:r>
              <w:rPr>
                <w:rFonts w:eastAsia="宋体"/>
                <w:lang w:eastAsia="zh-CN"/>
              </w:rPr>
              <w:t>For the case of reaching single or group of devices, an identifier may be required to identify the device</w:t>
            </w:r>
            <w:r>
              <w:rPr>
                <w:rFonts w:hint="eastAsia" w:eastAsia="宋体"/>
                <w:lang w:eastAsia="zh-CN"/>
              </w:rPr>
              <w:t xml:space="preserve"> </w:t>
            </w:r>
            <w:r>
              <w:rPr>
                <w:rFonts w:eastAsia="宋体"/>
                <w:lang w:eastAsia="zh-CN"/>
              </w:rPr>
              <w:t>/group of devices in the trigger message.    FFS pending the details from SA2</w:t>
            </w:r>
          </w:p>
          <w:p>
            <w:pPr>
              <w:pStyle w:val="61"/>
              <w:spacing w:after="60"/>
              <w:ind w:left="0" w:firstLine="0"/>
              <w:rPr>
                <w:rFonts w:eastAsia="宋体"/>
                <w:lang w:eastAsia="zh-CN"/>
              </w:rPr>
            </w:pPr>
            <w:r>
              <w:rPr>
                <w:rFonts w:hint="eastAsia" w:eastAsia="宋体"/>
                <w:lang w:eastAsia="zh-CN"/>
              </w:rPr>
              <w:t xml:space="preserve">2.We will study the support for access triggering for a single device, group of devices, or all devices.    RAN2 to discuss the contention-based and contention-free access procedures and detailed solutions. </w:t>
            </w:r>
          </w:p>
        </w:tc>
      </w:tr>
    </w:tbl>
    <w:p>
      <w:pPr>
        <w:pStyle w:val="61"/>
        <w:spacing w:after="60"/>
        <w:ind w:left="0" w:firstLine="0"/>
        <w:rPr>
          <w:rFonts w:eastAsia="宋体"/>
          <w:lang w:eastAsia="zh-CN"/>
        </w:rPr>
      </w:pPr>
      <w:r>
        <w:rPr>
          <w:rFonts w:hint="eastAsia" w:eastAsia="宋体"/>
          <w:lang w:eastAsia="zh-CN"/>
        </w:rPr>
        <w:t>Based on above agreement, the A-IoT paging may target to a single device, group of devices, or all devices. For above three cases, the detailed introduction is as following:</w:t>
      </w:r>
    </w:p>
    <w:p>
      <w:pPr>
        <w:pStyle w:val="61"/>
        <w:numPr>
          <w:ilvl w:val="0"/>
          <w:numId w:val="13"/>
        </w:numPr>
        <w:spacing w:after="60"/>
        <w:ind w:left="0" w:firstLine="0"/>
        <w:rPr>
          <w:rFonts w:eastAsia="宋体"/>
          <w:lang w:eastAsia="zh-CN"/>
        </w:rPr>
      </w:pPr>
      <w:r>
        <w:rPr>
          <w:rFonts w:hint="eastAsia" w:eastAsia="宋体"/>
          <w:lang w:eastAsia="zh-CN"/>
        </w:rPr>
        <w:t>A-IoT paging for single device</w:t>
      </w:r>
    </w:p>
    <w:p>
      <w:pPr>
        <w:pStyle w:val="61"/>
        <w:spacing w:after="0"/>
        <w:ind w:left="0" w:firstLine="0"/>
        <w:jc w:val="both"/>
        <w:rPr>
          <w:rFonts w:eastAsia="宋体"/>
          <w:lang w:eastAsia="zh-CN"/>
        </w:rPr>
      </w:pPr>
      <w:r>
        <w:rPr>
          <w:rFonts w:hint="eastAsia" w:cs="Arial"/>
          <w:szCs w:val="21"/>
          <w:lang w:eastAsia="zh-CN"/>
        </w:rPr>
        <w:t>In this case, a specific device ID should be contained. Whether the device ID is a temporary ID or permanent ID needs further discussion. If a temporary ID is used, it is obvious that the A-IoT device should keep saving it in its memory even if it is powered down. However, the maximum power consumption of the process of writing system information in EEPROM, which can save data even when powering down, may be as high as 10 uW [4]. Thus, it may be challenging for A-IoT device to save a temporary ID in its memory. However, if a permanent ID is used, whether there may be a security issue may require SA3 confirmation.</w:t>
      </w:r>
    </w:p>
    <w:p>
      <w:pPr>
        <w:pStyle w:val="61"/>
        <w:numPr>
          <w:ilvl w:val="0"/>
          <w:numId w:val="13"/>
        </w:numPr>
        <w:spacing w:before="60" w:after="60"/>
        <w:ind w:left="0" w:firstLine="0"/>
        <w:jc w:val="both"/>
        <w:rPr>
          <w:rFonts w:eastAsia="宋体"/>
          <w:lang w:eastAsia="zh-CN"/>
        </w:rPr>
      </w:pPr>
      <w:r>
        <w:rPr>
          <w:rFonts w:hint="eastAsia" w:eastAsia="宋体"/>
          <w:lang w:eastAsia="zh-CN"/>
        </w:rPr>
        <w:t>A-IoT paging for group of devices</w:t>
      </w:r>
    </w:p>
    <w:p>
      <w:pPr>
        <w:pStyle w:val="61"/>
        <w:spacing w:after="60"/>
        <w:ind w:left="0" w:firstLine="0"/>
        <w:jc w:val="both"/>
        <w:rPr>
          <w:rFonts w:eastAsia="宋体"/>
          <w:lang w:eastAsia="zh-CN"/>
        </w:rPr>
      </w:pPr>
      <w:r>
        <w:rPr>
          <w:rFonts w:hint="eastAsia" w:cs="Arial"/>
          <w:szCs w:val="21"/>
          <w:lang w:eastAsia="zh-CN"/>
        </w:rPr>
        <w:t xml:space="preserve">In this case, mask ID, feature ID or a list of specific device IDs, etc. may be contained in A-IoT paging. Similar to the A-IoT paging for single device, whether mask ID, feature ID and device ID contained are permanent or temporary needs further discussion. Note that above identifier contained in the message content of A-IoT paging should always be saved in Ambient IoT devices’ memory or can be obtained by Ambient IoT devices. Only with that, each Ambient IoT device can determine whether the A-IoT paging is targeted to it by comparing the information it owns and the identifier contained in A-IoT paging. </w:t>
      </w:r>
    </w:p>
    <w:p>
      <w:pPr>
        <w:pStyle w:val="61"/>
        <w:numPr>
          <w:ilvl w:val="0"/>
          <w:numId w:val="13"/>
        </w:numPr>
        <w:spacing w:before="60" w:after="60"/>
        <w:ind w:left="0" w:firstLine="0"/>
        <w:jc w:val="both"/>
        <w:rPr>
          <w:rFonts w:eastAsia="宋体"/>
          <w:lang w:eastAsia="zh-CN"/>
        </w:rPr>
      </w:pPr>
      <w:r>
        <w:rPr>
          <w:rFonts w:hint="eastAsia" w:eastAsia="宋体"/>
          <w:lang w:eastAsia="zh-CN"/>
        </w:rPr>
        <w:t>A-IoT paging for all devices</w:t>
      </w:r>
    </w:p>
    <w:p>
      <w:pPr>
        <w:pStyle w:val="61"/>
        <w:ind w:left="0" w:firstLine="0"/>
        <w:jc w:val="both"/>
        <w:rPr>
          <w:rFonts w:eastAsia="宋体"/>
          <w:lang w:eastAsia="zh-CN"/>
        </w:rPr>
      </w:pPr>
      <w:r>
        <w:rPr>
          <w:rFonts w:hint="eastAsia" w:eastAsia="宋体"/>
          <w:lang w:eastAsia="zh-CN"/>
        </w:rPr>
        <w:t>When A-IoT paging is targeted to all devices within the communication range of a reader, no ID is contained. All A-IoT devices respond to the A-IoT paging after identifying no ID is contained in A-IoT paging. Note that this do not preclude the case that a specific sequence is used to mark there is no ID.</w:t>
      </w:r>
    </w:p>
    <w:p>
      <w:pPr>
        <w:snapToGrid w:val="0"/>
        <w:spacing w:before="180" w:beforeLines="50" w:line="288" w:lineRule="auto"/>
        <w:rPr>
          <w:rFonts w:eastAsia="宋体"/>
          <w:b/>
          <w:bCs/>
        </w:rPr>
      </w:pPr>
      <w:r>
        <w:rPr>
          <w:rFonts w:hint="eastAsia" w:cs="Arial"/>
          <w:b/>
          <w:bCs/>
          <w:szCs w:val="21"/>
        </w:rPr>
        <w:t xml:space="preserve">Proposal 3: A-IoT paging targets to </w:t>
      </w:r>
      <w:r>
        <w:rPr>
          <w:rFonts w:hint="eastAsia" w:eastAsia="宋体"/>
          <w:b/>
          <w:bCs/>
        </w:rPr>
        <w:t>a single device, group of devices, or all devices.</w:t>
      </w:r>
    </w:p>
    <w:p>
      <w:pPr>
        <w:autoSpaceDE/>
        <w:autoSpaceDN/>
        <w:snapToGrid w:val="0"/>
        <w:spacing w:after="0" w:line="360" w:lineRule="auto"/>
        <w:rPr>
          <w:rFonts w:eastAsia="宋体"/>
          <w:b/>
          <w:bCs/>
        </w:rPr>
      </w:pPr>
      <w:r>
        <w:rPr>
          <w:rFonts w:hint="eastAsia" w:cs="Arial"/>
          <w:b/>
          <w:bCs/>
          <w:szCs w:val="21"/>
        </w:rPr>
        <w:t>Proposal 4: If the message content of A-IoT paging includes:</w:t>
      </w:r>
    </w:p>
    <w:p>
      <w:pPr>
        <w:autoSpaceDE/>
        <w:autoSpaceDN/>
        <w:snapToGrid w:val="0"/>
        <w:spacing w:after="0" w:line="360" w:lineRule="auto"/>
        <w:ind w:firstLine="1305" w:firstLineChars="650"/>
        <w:rPr>
          <w:rFonts w:eastAsia="宋体"/>
          <w:b/>
          <w:bCs/>
        </w:rPr>
      </w:pPr>
      <w:r>
        <w:rPr>
          <w:rFonts w:eastAsia="宋体"/>
          <w:b/>
          <w:bCs/>
        </w:rPr>
        <w:t xml:space="preserve">a) </w:t>
      </w:r>
      <w:r>
        <w:rPr>
          <w:rFonts w:hint="eastAsia" w:eastAsia="宋体"/>
          <w:b/>
          <w:bCs/>
        </w:rPr>
        <w:t>single</w:t>
      </w:r>
      <w:r>
        <w:rPr>
          <w:rFonts w:eastAsia="宋体"/>
          <w:b/>
          <w:bCs/>
        </w:rPr>
        <w:t xml:space="preserve"> device ID</w:t>
      </w:r>
      <w:r>
        <w:rPr>
          <w:rFonts w:hint="eastAsia" w:eastAsia="宋体"/>
          <w:b/>
          <w:bCs/>
        </w:rPr>
        <w:t>, it</w:t>
      </w:r>
      <w:r>
        <w:rPr>
          <w:rFonts w:eastAsia="宋体"/>
          <w:b/>
          <w:bCs/>
        </w:rPr>
        <w:t xml:space="preserve"> select</w:t>
      </w:r>
      <w:r>
        <w:rPr>
          <w:rFonts w:hint="eastAsia" w:eastAsia="宋体"/>
          <w:b/>
          <w:bCs/>
        </w:rPr>
        <w:t>s a</w:t>
      </w:r>
      <w:r>
        <w:rPr>
          <w:rFonts w:eastAsia="宋体"/>
          <w:b/>
          <w:bCs/>
        </w:rPr>
        <w:t xml:space="preserve"> signal device</w:t>
      </w:r>
      <w:r>
        <w:rPr>
          <w:rFonts w:hint="eastAsia" w:eastAsia="宋体"/>
          <w:b/>
          <w:bCs/>
        </w:rPr>
        <w:t>;</w:t>
      </w:r>
    </w:p>
    <w:p>
      <w:pPr>
        <w:autoSpaceDE/>
        <w:autoSpaceDN/>
        <w:snapToGrid w:val="0"/>
        <w:spacing w:after="0" w:line="360" w:lineRule="auto"/>
        <w:ind w:firstLine="1305" w:firstLineChars="650"/>
        <w:rPr>
          <w:rFonts w:eastAsia="宋体"/>
          <w:b/>
          <w:bCs/>
        </w:rPr>
      </w:pPr>
      <w:r>
        <w:rPr>
          <w:rFonts w:eastAsia="宋体"/>
          <w:b/>
          <w:bCs/>
        </w:rPr>
        <w:t>b) mask ID, feature ID or a list of device IDs</w:t>
      </w:r>
      <w:r>
        <w:rPr>
          <w:rFonts w:hint="eastAsia" w:eastAsia="宋体"/>
          <w:b/>
          <w:bCs/>
        </w:rPr>
        <w:t>, it</w:t>
      </w:r>
      <w:r>
        <w:rPr>
          <w:rFonts w:eastAsia="宋体"/>
          <w:b/>
          <w:bCs/>
        </w:rPr>
        <w:t xml:space="preserve"> select</w:t>
      </w:r>
      <w:r>
        <w:rPr>
          <w:rFonts w:hint="eastAsia" w:eastAsia="宋体"/>
          <w:b/>
          <w:bCs/>
        </w:rPr>
        <w:t>s a</w:t>
      </w:r>
      <w:r>
        <w:rPr>
          <w:rFonts w:eastAsia="宋体"/>
          <w:b/>
          <w:bCs/>
        </w:rPr>
        <w:t xml:space="preserve"> </w:t>
      </w:r>
      <w:r>
        <w:rPr>
          <w:rFonts w:hint="eastAsia" w:eastAsia="宋体"/>
          <w:b/>
          <w:bCs/>
        </w:rPr>
        <w:t>g</w:t>
      </w:r>
      <w:r>
        <w:rPr>
          <w:rFonts w:eastAsia="宋体"/>
          <w:b/>
          <w:bCs/>
        </w:rPr>
        <w:t>roup</w:t>
      </w:r>
      <w:r>
        <w:rPr>
          <w:rFonts w:hint="eastAsia" w:eastAsia="宋体"/>
          <w:b/>
          <w:bCs/>
        </w:rPr>
        <w:t xml:space="preserve"> of</w:t>
      </w:r>
      <w:r>
        <w:rPr>
          <w:rFonts w:eastAsia="宋体"/>
          <w:b/>
          <w:bCs/>
        </w:rPr>
        <w:t xml:space="preserve"> device</w:t>
      </w:r>
      <w:r>
        <w:rPr>
          <w:rFonts w:hint="eastAsia" w:eastAsia="宋体"/>
          <w:b/>
          <w:bCs/>
        </w:rPr>
        <w:t>s;</w:t>
      </w:r>
    </w:p>
    <w:p>
      <w:pPr>
        <w:autoSpaceDE/>
        <w:autoSpaceDN/>
        <w:snapToGrid w:val="0"/>
        <w:spacing w:after="0" w:line="360" w:lineRule="auto"/>
        <w:ind w:firstLine="1305" w:firstLineChars="650"/>
        <w:rPr>
          <w:rFonts w:eastAsia="宋体"/>
          <w:b/>
          <w:bCs/>
        </w:rPr>
      </w:pPr>
      <w:r>
        <w:rPr>
          <w:rFonts w:eastAsia="宋体"/>
          <w:b/>
          <w:bCs/>
        </w:rPr>
        <w:t xml:space="preserve">c) </w:t>
      </w:r>
      <w:r>
        <w:rPr>
          <w:rFonts w:hint="eastAsia" w:eastAsia="宋体"/>
          <w:b/>
          <w:bCs/>
        </w:rPr>
        <w:t xml:space="preserve">no ID, it selects </w:t>
      </w:r>
      <w:r>
        <w:rPr>
          <w:rFonts w:eastAsia="宋体"/>
          <w:b/>
          <w:bCs/>
        </w:rPr>
        <w:t>all device</w:t>
      </w:r>
      <w:r>
        <w:rPr>
          <w:rFonts w:hint="eastAsia" w:eastAsia="宋体"/>
          <w:b/>
          <w:bCs/>
        </w:rPr>
        <w:t>s.</w:t>
      </w:r>
    </w:p>
    <w:p>
      <w:pPr>
        <w:autoSpaceDE/>
        <w:autoSpaceDN/>
        <w:snapToGrid w:val="0"/>
        <w:spacing w:after="0" w:line="360" w:lineRule="auto"/>
        <w:rPr>
          <w:rFonts w:eastAsia="宋体"/>
          <w:b/>
          <w:bCs/>
        </w:rPr>
      </w:pPr>
      <w:r>
        <w:rPr>
          <w:rFonts w:hint="eastAsia" w:eastAsia="宋体"/>
          <w:b/>
          <w:bCs/>
        </w:rPr>
        <w:t xml:space="preserve">           </w:t>
      </w:r>
      <w:r>
        <w:rPr>
          <w:rFonts w:hint="eastAsia" w:eastAsia="宋体"/>
          <w:b/>
          <w:bCs/>
        </w:rPr>
        <w:tab/>
      </w:r>
      <w:r>
        <w:rPr>
          <w:rFonts w:hint="eastAsia" w:eastAsia="宋体"/>
          <w:b/>
          <w:bCs/>
        </w:rPr>
        <w:t>FFS device ID, mask ID, feature ID, etc. are temporary or permanent</w:t>
      </w:r>
    </w:p>
    <w:p>
      <w:pPr>
        <w:pStyle w:val="61"/>
        <w:ind w:left="0" w:firstLine="0"/>
        <w:rPr>
          <w:rFonts w:eastAsia="宋体"/>
          <w:lang w:eastAsia="zh-CN"/>
        </w:rPr>
      </w:pPr>
    </w:p>
    <w:p>
      <w:pPr>
        <w:pStyle w:val="61"/>
        <w:ind w:left="0" w:firstLine="0"/>
        <w:rPr>
          <w:rFonts w:eastAsia="宋体"/>
          <w:lang w:eastAsia="zh-CN"/>
        </w:rPr>
      </w:pPr>
      <w:r>
        <w:rPr>
          <w:rFonts w:hint="eastAsia" w:eastAsia="宋体"/>
          <w:lang w:eastAsia="zh-CN"/>
        </w:rPr>
        <w:t>2.2.3.2  Identifier of trigger cause</w:t>
      </w:r>
    </w:p>
    <w:p>
      <w:pPr>
        <w:pStyle w:val="61"/>
        <w:ind w:left="0" w:firstLine="0"/>
        <w:jc w:val="both"/>
        <w:rPr>
          <w:rFonts w:eastAsia="宋体"/>
          <w:lang w:eastAsia="zh-CN"/>
        </w:rPr>
      </w:pPr>
      <w:r>
        <w:rPr>
          <w:rFonts w:hint="eastAsia" w:eastAsia="宋体"/>
          <w:lang w:eastAsia="zh-CN"/>
        </w:rPr>
        <w:t xml:space="preserve">As discussed above, it is clear that if the </w:t>
      </w:r>
      <w:r>
        <w:rPr>
          <w:rFonts w:hint="eastAsia" w:cs="Arial"/>
          <w:szCs w:val="21"/>
          <w:lang w:eastAsia="zh-CN"/>
        </w:rPr>
        <w:t>A-IoT paging is used to inventory, the target device(s) perform random access.</w:t>
      </w:r>
      <w:r>
        <w:rPr>
          <w:rFonts w:cs="Arial" w:eastAsiaTheme="minorEastAsia"/>
          <w:color w:val="000000" w:themeColor="text1"/>
          <w:lang w:eastAsia="zh-CN"/>
          <w14:textFill>
            <w14:solidFill>
              <w14:schemeClr w14:val="tx1"/>
            </w14:solidFill>
          </w14:textFill>
        </w:rPr>
        <w:t xml:space="preserve"> </w:t>
      </w:r>
      <w:r>
        <w:rPr>
          <w:rFonts w:hint="eastAsia" w:cs="Arial" w:eastAsiaTheme="minorEastAsia"/>
          <w:color w:val="000000" w:themeColor="text1"/>
          <w:lang w:eastAsia="zh-CN"/>
          <w14:textFill>
            <w14:solidFill>
              <w14:schemeClr w14:val="tx1"/>
            </w14:solidFill>
          </w14:textFill>
        </w:rPr>
        <w:t xml:space="preserve">While, if a command is sent as an A-IoT paging, the target device(s) may transmit the command result directly. Therefore, an identifier should be contained in A-IoT paging for target A-IoT device(s) identifying different trigger causes (e.g. inventory, command), so that it/they can conduct corresponding behavior. For example, A-IoT paging includes Inventory command and Write command and different identifiers are applied to mark them, target A-IoT devices can distinguish them based on the identifiers in A-IoT paging, and then respond A-IoT device ID when receiving Inventory command and write data to its memory and transmit command result when receiving Write command. Besides, the type of A-IoT paging/service request transmitted form CN (e.g. inventory, command, etc.) should also be </w:t>
      </w:r>
      <w:r>
        <w:rPr>
          <w:rFonts w:hint="eastAsia" w:cs="Arial" w:eastAsiaTheme="minorEastAsia"/>
          <w:color w:val="000000" w:themeColor="text1"/>
          <w:lang w:val="en-US" w:eastAsia="zh-CN"/>
          <w14:textFill>
            <w14:solidFill>
              <w14:schemeClr w14:val="tx1"/>
            </w14:solidFill>
          </w14:textFill>
        </w:rPr>
        <w:t>visible to</w:t>
      </w:r>
      <w:r>
        <w:rPr>
          <w:rFonts w:hint="eastAsia" w:cs="Arial" w:eastAsiaTheme="minorEastAsia"/>
          <w:color w:val="000000" w:themeColor="text1"/>
          <w:lang w:eastAsia="zh-CN"/>
          <w14:textFill>
            <w14:solidFill>
              <w14:schemeClr w14:val="tx1"/>
            </w14:solidFill>
          </w14:textFill>
        </w:rPr>
        <w:t xml:space="preserve"> gNB, so that it can identify the message type (e.g. temporary ID, device ID or command result etc.) of A-IoT devices</w:t>
      </w:r>
      <w:r>
        <w:rPr>
          <w:rFonts w:cs="Arial" w:eastAsiaTheme="minorEastAsia"/>
          <w:color w:val="000000" w:themeColor="text1"/>
          <w:lang w:eastAsia="zh-CN"/>
          <w14:textFill>
            <w14:solidFill>
              <w14:schemeClr w14:val="tx1"/>
            </w14:solidFill>
          </w14:textFill>
        </w:rPr>
        <w:t>’</w:t>
      </w:r>
      <w:r>
        <w:rPr>
          <w:rFonts w:hint="eastAsia" w:cs="Arial" w:eastAsiaTheme="minorEastAsia"/>
          <w:color w:val="000000" w:themeColor="text1"/>
          <w:lang w:eastAsia="zh-CN"/>
          <w14:textFill>
            <w14:solidFill>
              <w14:schemeClr w14:val="tx1"/>
            </w14:solidFill>
          </w14:textFill>
        </w:rPr>
        <w:t xml:space="preserve"> response and then conduct subsequent procedure (e.g. send Msg2) or transmit it to CN. </w:t>
      </w:r>
    </w:p>
    <w:p>
      <w:pPr>
        <w:snapToGrid w:val="0"/>
        <w:spacing w:before="180" w:beforeLines="50" w:line="288" w:lineRule="auto"/>
        <w:rPr>
          <w:rFonts w:eastAsia="宋体"/>
          <w:b/>
          <w:bCs/>
        </w:rPr>
      </w:pPr>
      <w:r>
        <w:rPr>
          <w:rFonts w:hint="eastAsia" w:cs="Arial"/>
          <w:b/>
          <w:bCs/>
          <w:szCs w:val="21"/>
        </w:rPr>
        <w:t>Proposal 5: In A-IoT paging,</w:t>
      </w:r>
      <w:r>
        <w:rPr>
          <w:rFonts w:hint="eastAsia" w:cs="Arial" w:eastAsiaTheme="minorEastAsia"/>
          <w:b/>
          <w:bCs/>
          <w:color w:val="000000" w:themeColor="text1"/>
          <w14:textFill>
            <w14:solidFill>
              <w14:schemeClr w14:val="tx1"/>
            </w14:solidFill>
          </w14:textFill>
        </w:rPr>
        <w:t xml:space="preserve"> an identifier should be contained for target A-IoT devices identifying the trigger cause (e.g. inventory, command, etc.)</w:t>
      </w:r>
      <w:r>
        <w:rPr>
          <w:rFonts w:hint="eastAsia" w:eastAsia="宋体"/>
          <w:b/>
          <w:bCs/>
        </w:rPr>
        <w:t>.</w:t>
      </w:r>
    </w:p>
    <w:p>
      <w:pPr>
        <w:snapToGrid w:val="0"/>
        <w:spacing w:before="180" w:beforeLines="50" w:line="288" w:lineRule="auto"/>
        <w:rPr>
          <w:rFonts w:eastAsia="宋体"/>
          <w:b/>
          <w:bCs/>
        </w:rPr>
      </w:pPr>
      <w:r>
        <w:rPr>
          <w:rFonts w:hint="eastAsia" w:eastAsia="宋体"/>
          <w:b/>
          <w:bCs/>
        </w:rPr>
        <w:t xml:space="preserve">Proposal 6: The type of A-IoT paging/service request transmitted form CN (e.g. inventory, command, etc.) should be </w:t>
      </w:r>
      <w:r>
        <w:rPr>
          <w:rFonts w:hint="eastAsia" w:eastAsia="宋体"/>
          <w:b/>
          <w:bCs/>
          <w:lang w:val="en-US" w:eastAsia="zh-CN"/>
        </w:rPr>
        <w:t>visible to</w:t>
      </w:r>
      <w:r>
        <w:rPr>
          <w:rFonts w:hint="eastAsia" w:eastAsia="宋体"/>
          <w:b/>
          <w:bCs/>
        </w:rPr>
        <w:t xml:space="preserve"> gNB.</w:t>
      </w:r>
    </w:p>
    <w:p>
      <w:pPr>
        <w:snapToGrid w:val="0"/>
        <w:spacing w:before="180" w:beforeLines="50" w:line="288" w:lineRule="auto"/>
        <w:rPr>
          <w:rFonts w:eastAsia="宋体"/>
          <w:b/>
          <w:bCs/>
        </w:rPr>
      </w:pPr>
    </w:p>
    <w:p>
      <w:pPr>
        <w:pStyle w:val="61"/>
        <w:ind w:left="0" w:firstLine="0"/>
        <w:rPr>
          <w:rFonts w:eastAsia="宋体"/>
          <w:lang w:eastAsia="zh-CN"/>
        </w:rPr>
      </w:pPr>
      <w:r>
        <w:rPr>
          <w:rFonts w:hint="eastAsia" w:eastAsia="宋体"/>
          <w:lang w:eastAsia="zh-CN"/>
        </w:rPr>
        <w:t>2.2.3.3  Identifier of D2R transmission resources</w:t>
      </w:r>
    </w:p>
    <w:p>
      <w:pPr>
        <w:snapToGrid w:val="0"/>
        <w:spacing w:before="180" w:beforeLines="50" w:line="288" w:lineRule="auto"/>
        <w:rPr>
          <w:rFonts w:eastAsia="宋体"/>
        </w:rPr>
      </w:pPr>
      <w:r>
        <w:rPr>
          <w:rFonts w:hint="eastAsia" w:cs="Arial" w:eastAsiaTheme="minorEastAsia"/>
          <w:color w:val="000000" w:themeColor="text1"/>
          <w14:textFill>
            <w14:solidFill>
              <w14:schemeClr w14:val="tx1"/>
            </w14:solidFill>
          </w14:textFill>
        </w:rPr>
        <w:t xml:space="preserve">To support the efficient response of target A-IoT device(s), the </w:t>
      </w:r>
      <w:r>
        <w:rPr>
          <w:rFonts w:hint="eastAsia" w:eastAsia="宋体"/>
        </w:rPr>
        <w:t>identifier of transmission resources should also be contained. In RAN1#116bis meeting, it has been agreed that [5]:</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spacing w:after="60" w:line="288" w:lineRule="auto"/>
              <w:rPr>
                <w:rFonts w:eastAsia="宋体"/>
                <w:highlight w:val="green"/>
              </w:rPr>
            </w:pPr>
            <w:r>
              <w:rPr>
                <w:rFonts w:eastAsia="宋体"/>
                <w:highlight w:val="green"/>
              </w:rPr>
              <w:t>Agreement</w:t>
            </w:r>
          </w:p>
          <w:p>
            <w:pPr>
              <w:snapToGrid w:val="0"/>
              <w:spacing w:after="60" w:line="288" w:lineRule="auto"/>
              <w:rPr>
                <w:rFonts w:eastAsia="宋体"/>
              </w:rPr>
            </w:pPr>
            <w:r>
              <w:rPr>
                <w:rFonts w:eastAsia="宋体"/>
              </w:rPr>
              <w:t>Study time-domain multiple access of D2R transmissions. Further details, including pros/cons, are FFS.</w:t>
            </w:r>
          </w:p>
          <w:p>
            <w:pPr>
              <w:snapToGrid w:val="0"/>
              <w:spacing w:after="60" w:line="288" w:lineRule="auto"/>
              <w:rPr>
                <w:rFonts w:eastAsia="宋体"/>
                <w:highlight w:val="green"/>
              </w:rPr>
            </w:pPr>
            <w:r>
              <w:rPr>
                <w:rFonts w:eastAsia="宋体"/>
                <w:highlight w:val="green"/>
              </w:rPr>
              <w:t>Agreement</w:t>
            </w:r>
          </w:p>
          <w:p>
            <w:pPr>
              <w:snapToGrid w:val="0"/>
              <w:spacing w:after="60" w:line="288" w:lineRule="auto"/>
              <w:rPr>
                <w:rFonts w:eastAsia="宋体"/>
              </w:rPr>
            </w:pPr>
            <w:r>
              <w:rPr>
                <w:rFonts w:eastAsia="宋体"/>
              </w:rPr>
              <w:t>Study frequency-domain multiple access of D2R transmissions, at least by utilizing a small frequency-shift in baseband. Further details, including pros/cons, are FFS.</w:t>
            </w:r>
          </w:p>
          <w:p>
            <w:pPr>
              <w:snapToGrid w:val="0"/>
              <w:spacing w:after="60" w:line="288" w:lineRule="auto"/>
              <w:rPr>
                <w:rFonts w:eastAsia="宋体"/>
                <w:highlight w:val="green"/>
              </w:rPr>
            </w:pPr>
            <w:r>
              <w:rPr>
                <w:rFonts w:eastAsia="宋体"/>
                <w:highlight w:val="green"/>
              </w:rPr>
              <w:t>Agreement</w:t>
            </w:r>
          </w:p>
          <w:p>
            <w:pPr>
              <w:snapToGrid w:val="0"/>
              <w:spacing w:after="60" w:line="288" w:lineRule="auto"/>
              <w:rPr>
                <w:rFonts w:eastAsia="宋体"/>
              </w:rPr>
            </w:pPr>
            <w:r>
              <w:rPr>
                <w:rFonts w:eastAsia="宋体"/>
              </w:rPr>
              <w:t>Whether code-domain multiple access is feasible and necessary for D2R transmissions for all devices is FFS.</w:t>
            </w:r>
          </w:p>
        </w:tc>
      </w:tr>
    </w:tbl>
    <w:p>
      <w:pPr>
        <w:spacing w:after="0"/>
        <w:rPr>
          <w:rFonts w:cs="Arial" w:eastAsiaTheme="minorEastAsia"/>
          <w:color w:val="000000" w:themeColor="text1"/>
          <w:highlight w:val="cyan"/>
          <w14:textFill>
            <w14:solidFill>
              <w14:schemeClr w14:val="tx1"/>
            </w14:solidFill>
          </w14:textFill>
        </w:rPr>
      </w:pPr>
      <w:r>
        <w:rPr>
          <w:rFonts w:hint="eastAsia" w:cs="Arial" w:eastAsiaTheme="minorEastAsia"/>
          <w:color w:val="000000" w:themeColor="text1"/>
          <w14:textFill>
            <w14:solidFill>
              <w14:schemeClr w14:val="tx1"/>
            </w14:solidFill>
          </w14:textFill>
        </w:rPr>
        <w:t xml:space="preserve">It can be seen that both TDMA and FDMA of D2R transmissions are agreed to be studied by RAN1, while whether CDMA is feasible and necessary needs further discussion. If at least two multiple access methods (such as: TDMA, FDMA, etc.) are supported, one identifier which marks it may be contained in A-IoT paging. Apart from this, the corresponding D2R transmission resources should also be contained. The D2R transmission resources may include time-domain (such as access occasion) and/or frequency-domain (such as the </w:t>
      </w:r>
      <w:r>
        <w:rPr>
          <w:rFonts w:cs="Arial" w:eastAsiaTheme="minorEastAsia"/>
          <w:color w:val="000000" w:themeColor="text1"/>
          <w14:textFill>
            <w14:solidFill>
              <w14:schemeClr w14:val="tx1"/>
            </w14:solidFill>
          </w14:textFill>
        </w:rPr>
        <w:t>frequency-shift</w:t>
      </w:r>
      <w:r>
        <w:rPr>
          <w:rFonts w:hint="eastAsia" w:cs="Arial" w:eastAsiaTheme="minorEastAsia"/>
          <w:color w:val="000000" w:themeColor="text1"/>
          <w14:textFill>
            <w14:solidFill>
              <w14:schemeClr w14:val="tx1"/>
            </w14:solidFill>
          </w14:textFill>
        </w:rPr>
        <w:t xml:space="preserve">) and/or code-domain resources. Besides, the D2R transmission resources can be shared D2R resources or dedicated D2R resources, in which dedicated D2R resources represents the access resources assigned to specific Ambient IoT device, while shared D2R resources denotes the common resources which should be shared by all paged Ambient IoT devices. In other words, Ambient IoT devices with dedicated D2R resources can access/respond without competition, while Ambient IoT devices with shared D2R resources will select among them and may collide when responding. Note that in order to allocate dedicated D2R resources, one specific device ID or a list of specific device IDs should be contained in A-IoT paging. While, for the A-IoT paging targeted to one A-IoT device, there maybe no explicit indication of D2R transmission resources as well. </w:t>
      </w:r>
      <w:r>
        <w:rPr>
          <w:rFonts w:hint="eastAsia" w:cs="Arial" w:eastAsiaTheme="minorEastAsia"/>
          <w:color w:val="000000" w:themeColor="text1"/>
          <w:highlight w:val="none"/>
          <w14:textFill>
            <w14:solidFill>
              <w14:schemeClr w14:val="tx1"/>
            </w14:solidFill>
          </w14:textFill>
        </w:rPr>
        <w:t xml:space="preserve">While, note that the allocated D2R resources have relationship with the number of paged devices, etc. For example, if ten device IDs are contained, there should be at least ten access occasions allocated if TDMA is applied for D2R transmission. With the consideration that the wireless resources should be allocated by gNB, then at least the number of target A-IoT devices should be </w:t>
      </w:r>
      <w:r>
        <w:rPr>
          <w:rFonts w:hint="eastAsia" w:cs="Arial" w:eastAsiaTheme="minorEastAsia"/>
          <w:color w:val="000000" w:themeColor="text1"/>
          <w:highlight w:val="none"/>
          <w:lang w:val="en-US" w:eastAsia="zh-CN"/>
          <w14:textFill>
            <w14:solidFill>
              <w14:schemeClr w14:val="tx1"/>
            </w14:solidFill>
          </w14:textFill>
        </w:rPr>
        <w:t>known</w:t>
      </w:r>
      <w:r>
        <w:rPr>
          <w:rFonts w:hint="eastAsia" w:cs="Arial" w:eastAsiaTheme="minorEastAsia"/>
          <w:color w:val="000000" w:themeColor="text1"/>
          <w:highlight w:val="none"/>
          <w14:textFill>
            <w14:solidFill>
              <w14:schemeClr w14:val="tx1"/>
            </w14:solidFill>
          </w14:textFill>
        </w:rPr>
        <w:t xml:space="preserve"> by gNB. Otherwise, the gNB should always estimates the number, which may bring larger overhead and decrease the efficiency. While note that for paging all A-IoT devices, the process of estimating the number of devices may be necessary. Based on the number of target A-IoT devices, gNB can allocated D2R resources to indicate A-IoT devices conduct random access or transmit command result efficiently. </w:t>
      </w:r>
      <w:r>
        <w:rPr>
          <w:rFonts w:hint="eastAsia" w:cs="Arial" w:eastAsiaTheme="minorEastAsia"/>
          <w:color w:val="000000" w:themeColor="text1"/>
          <w:highlight w:val="none"/>
          <w:lang w:val="en-US" w:eastAsia="zh-CN"/>
          <w14:textFill>
            <w14:solidFill>
              <w14:schemeClr w14:val="tx1"/>
            </w14:solidFill>
          </w14:textFill>
        </w:rPr>
        <w:t xml:space="preserve">Therefore, </w:t>
      </w:r>
      <w:r>
        <w:rPr>
          <w:rFonts w:hint="eastAsia" w:cs="Arial" w:eastAsiaTheme="minorEastAsia"/>
          <w:color w:val="000000" w:themeColor="text1"/>
          <w:highlight w:val="none"/>
          <w14:textFill>
            <w14:solidFill>
              <w14:schemeClr w14:val="tx1"/>
            </w14:solidFill>
          </w14:textFill>
        </w:rPr>
        <w:t xml:space="preserve">RAN2 </w:t>
      </w:r>
      <w:r>
        <w:rPr>
          <w:rFonts w:hint="eastAsia" w:cs="Arial" w:eastAsiaTheme="minorEastAsia"/>
          <w:color w:val="000000" w:themeColor="text1"/>
          <w:highlight w:val="none"/>
          <w:lang w:val="en-US" w:eastAsia="zh-CN"/>
          <w14:textFill>
            <w14:solidFill>
              <w14:schemeClr w14:val="tx1"/>
            </w14:solidFill>
          </w14:textFill>
        </w:rPr>
        <w:t xml:space="preserve">can </w:t>
      </w:r>
      <w:r>
        <w:rPr>
          <w:rFonts w:hint="eastAsia" w:cs="Arial" w:eastAsiaTheme="minorEastAsia"/>
          <w:color w:val="000000" w:themeColor="text1"/>
          <w:highlight w:val="none"/>
          <w14:textFill>
            <w14:solidFill>
              <w14:schemeClr w14:val="tx1"/>
            </w14:solidFill>
          </w14:textFill>
        </w:rPr>
        <w:t>assume the number of paged devices can be known by gNB through explicit parameter from CN or estimated by gNB. While whether other parameters are also necessary for gNB allocating D2R resources needs further discussion.</w:t>
      </w:r>
    </w:p>
    <w:p>
      <w:pPr>
        <w:snapToGrid w:val="0"/>
        <w:spacing w:before="180" w:beforeLines="50" w:line="288" w:lineRule="auto"/>
        <w:rPr>
          <w:rFonts w:hint="eastAsia" w:eastAsia="宋体"/>
          <w:b/>
          <w:bCs/>
          <w:lang w:val="en-US" w:eastAsia="zh-CN"/>
        </w:rPr>
      </w:pPr>
      <w:r>
        <w:rPr>
          <w:rFonts w:hint="eastAsia" w:cs="Arial"/>
          <w:b/>
          <w:bCs/>
          <w:szCs w:val="21"/>
        </w:rPr>
        <w:t xml:space="preserve">Proposal 7: </w:t>
      </w:r>
      <w:r>
        <w:rPr>
          <w:rFonts w:hint="eastAsia" w:eastAsia="宋体"/>
          <w:b/>
          <w:bCs/>
        </w:rPr>
        <w:t>Paging can indicate the multiple access method of target devices (e.g. TDMA, FDMA, CDMA, etc.)</w:t>
      </w:r>
      <w:r>
        <w:rPr>
          <w:rFonts w:hint="eastAsia" w:eastAsia="宋体"/>
          <w:b/>
          <w:bCs/>
          <w:lang w:val="en-US" w:eastAsia="zh-CN"/>
        </w:rPr>
        <w:t>.</w:t>
      </w:r>
    </w:p>
    <w:p>
      <w:pPr>
        <w:snapToGrid w:val="0"/>
        <w:spacing w:before="180" w:beforeLines="50" w:line="288" w:lineRule="auto"/>
        <w:rPr>
          <w:rFonts w:eastAsia="宋体"/>
          <w:b/>
          <w:bCs/>
        </w:rPr>
      </w:pPr>
      <w:r>
        <w:rPr>
          <w:rFonts w:hint="eastAsia" w:cs="Arial"/>
          <w:b/>
          <w:bCs/>
          <w:szCs w:val="21"/>
        </w:rPr>
        <w:t xml:space="preserve">Proposal 8: </w:t>
      </w:r>
      <w:r>
        <w:rPr>
          <w:rFonts w:hint="eastAsia" w:eastAsia="宋体"/>
          <w:b/>
          <w:bCs/>
        </w:rPr>
        <w:t xml:space="preserve">The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transmission resources (e.g. dedicated and shared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resources) can be contained in A-IoT paging</w:t>
      </w:r>
      <w:r>
        <w:rPr>
          <w:rFonts w:hint="eastAsia" w:eastAsia="宋体"/>
          <w:b/>
          <w:bCs/>
          <w:lang w:val="en-US" w:eastAsia="zh-CN"/>
        </w:rPr>
        <w:t>.</w:t>
      </w:r>
      <w:r>
        <w:rPr>
          <w:rFonts w:hint="eastAsia" w:eastAsia="宋体"/>
          <w:b/>
          <w:bCs/>
        </w:rPr>
        <w:t xml:space="preserve"> </w:t>
      </w:r>
    </w:p>
    <w:p>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eastAsia="宋体"/>
          <w:b/>
          <w:bCs/>
        </w:rPr>
        <w:t>Proposal 9: T</w:t>
      </w:r>
      <w:r>
        <w:rPr>
          <w:rFonts w:hint="eastAsia" w:cs="Arial" w:eastAsiaTheme="minorEastAsia"/>
          <w:b/>
          <w:bCs/>
          <w:color w:val="000000" w:themeColor="text1"/>
          <w14:textFill>
            <w14:solidFill>
              <w14:schemeClr w14:val="tx1"/>
            </w14:solidFill>
          </w14:textFill>
        </w:rPr>
        <w:t>here may be no explicit indication of D2R transmission resources when paging a single device.</w:t>
      </w:r>
    </w:p>
    <w:p>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10: </w:t>
      </w:r>
      <w:r>
        <w:rPr>
          <w:rFonts w:hint="eastAsia" w:cs="Arial" w:eastAsiaTheme="minorEastAsia"/>
          <w:b/>
          <w:bCs/>
          <w:color w:val="000000" w:themeColor="text1"/>
          <w:lang w:val="en-US" w:eastAsia="zh-CN"/>
          <w14:textFill>
            <w14:solidFill>
              <w14:schemeClr w14:val="tx1"/>
            </w14:solidFill>
          </w14:textFill>
        </w:rPr>
        <w:t>RAN2 assume t</w:t>
      </w:r>
      <w:r>
        <w:rPr>
          <w:rFonts w:hint="eastAsia" w:cs="Arial" w:eastAsiaTheme="minorEastAsia"/>
          <w:b/>
          <w:bCs/>
          <w:color w:val="000000" w:themeColor="text1"/>
          <w14:textFill>
            <w14:solidFill>
              <w14:schemeClr w14:val="tx1"/>
            </w14:solidFill>
          </w14:textFill>
        </w:rPr>
        <w:t xml:space="preserve">he number of paged devices can be </w:t>
      </w:r>
      <w:r>
        <w:rPr>
          <w:rFonts w:hint="eastAsia" w:cs="Arial" w:eastAsiaTheme="minorEastAsia"/>
          <w:b/>
          <w:bCs/>
          <w:color w:val="000000" w:themeColor="text1"/>
          <w:lang w:val="en-US" w:eastAsia="zh-CN"/>
          <w14:textFill>
            <w14:solidFill>
              <w14:schemeClr w14:val="tx1"/>
            </w14:solidFill>
          </w14:textFill>
        </w:rPr>
        <w:t>known by gNB</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through explicit parameter from CN or estimated by gNB</w:t>
      </w:r>
      <w:r>
        <w:rPr>
          <w:rFonts w:hint="eastAsia" w:cs="Arial" w:eastAsiaTheme="minorEastAsia"/>
          <w:b/>
          <w:bCs/>
          <w:color w:val="000000" w:themeColor="text1"/>
          <w14:textFill>
            <w14:solidFill>
              <w14:schemeClr w14:val="tx1"/>
            </w14:solidFill>
          </w14:textFill>
        </w:rPr>
        <w:t>. FFS other parameters</w:t>
      </w:r>
    </w:p>
    <w:p>
      <w:pPr>
        <w:spacing w:after="0"/>
        <w:rPr>
          <w:rFonts w:cs="Arial" w:eastAsiaTheme="minorEastAsia"/>
          <w:color w:val="000000" w:themeColor="text1"/>
          <w14:textFill>
            <w14:solidFill>
              <w14:schemeClr w14:val="tx1"/>
            </w14:solidFill>
          </w14:textFill>
        </w:rPr>
      </w:pPr>
    </w:p>
    <w:p>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2.2.3.4 Other identifier</w:t>
      </w:r>
    </w:p>
    <w:p>
      <w:pPr>
        <w:spacing w:after="0"/>
        <w:rPr>
          <w:rFonts w:cs="Arial" w:eastAsiaTheme="minorEastAsia"/>
          <w:color w:val="000000" w:themeColor="text1"/>
          <w14:textFill>
            <w14:solidFill>
              <w14:schemeClr w14:val="tx1"/>
            </w14:solidFill>
          </w14:textFill>
        </w:rPr>
      </w:pPr>
      <w:r>
        <w:rPr>
          <w:rFonts w:cs="Arial" w:eastAsiaTheme="minorEastAsia"/>
          <w:color w:val="000000" w:themeColor="text1"/>
          <w14:textFill>
            <w14:solidFill>
              <w14:schemeClr w14:val="tx1"/>
            </w14:solidFill>
          </w14:textFill>
        </w:rPr>
        <w:t xml:space="preserve">What’s more, in NR, the paging triggered by CN is broadcasted among all cells within the corresponding TAI list, while the paging triggered by RAN is broadcasted among all cells within the RAN Notification Area (RNA). For Ambient IoT, it has been approved that RAN2 assumes that the device will not support tracking/RAN area update procedure. While, with the consideration of support the association, </w:t>
      </w:r>
      <w:r>
        <w:rPr>
          <w:rFonts w:hint="eastAsia" w:cs="Arial" w:eastAsiaTheme="minorEastAsia"/>
          <w:color w:val="000000" w:themeColor="text1"/>
          <w14:textFill>
            <w14:solidFill>
              <w14:schemeClr w14:val="tx1"/>
            </w14:solidFill>
          </w14:textFill>
        </w:rPr>
        <w:t>re-association</w:t>
      </w:r>
      <w:r>
        <w:rPr>
          <w:rFonts w:cs="Arial" w:eastAsiaTheme="minorEastAsia"/>
          <w:color w:val="000000" w:themeColor="text1"/>
          <w14:textFill>
            <w14:solidFill>
              <w14:schemeClr w14:val="tx1"/>
            </w14:solidFill>
          </w14:textFill>
        </w:rPr>
        <w:t xml:space="preserve">, etc. efficiently, there may also be the identifier of the reader or something like A-IoT paging area contained in A-IoT paging. </w:t>
      </w:r>
      <w:r>
        <w:rPr>
          <w:rFonts w:hint="eastAsia" w:cs="Arial" w:eastAsiaTheme="minorEastAsia"/>
          <w:color w:val="000000" w:themeColor="text1"/>
          <w14:textFill>
            <w14:solidFill>
              <w14:schemeClr w14:val="tx1"/>
            </w14:solidFill>
          </w14:textFill>
        </w:rPr>
        <w:t>For example, when a reader ID is contained in A-IoT paging, the A-IoT device can identify its association relationship with reader by recording reader ID. Then when an A-IoT device finds the reader ID contained in A-IoT paging is different from the reader ID saved, it can perceive its</w:t>
      </w:r>
      <w:r>
        <w:rPr>
          <w:rFonts w:cs="Arial" w:eastAsiaTheme="minorEastAsia"/>
          <w:color w:val="000000" w:themeColor="text1"/>
          <w14:textFill>
            <w14:solidFill>
              <w14:schemeClr w14:val="tx1"/>
            </w14:solidFill>
          </w14:textFill>
        </w:rPr>
        <w:t xml:space="preserve"> association relationship with reader change</w:t>
      </w:r>
      <w:r>
        <w:rPr>
          <w:rFonts w:hint="eastAsia" w:cs="Arial" w:eastAsiaTheme="minorEastAsia"/>
          <w:color w:val="000000" w:themeColor="text1"/>
          <w14:textFill>
            <w14:solidFill>
              <w14:schemeClr w14:val="tx1"/>
            </w14:solidFill>
          </w14:textFill>
        </w:rPr>
        <w:t xml:space="preserve">s. </w:t>
      </w:r>
      <w:r>
        <w:rPr>
          <w:rFonts w:cs="Arial" w:eastAsiaTheme="minorEastAsia"/>
          <w:color w:val="000000" w:themeColor="text1"/>
          <w14:textFill>
            <w14:solidFill>
              <w14:schemeClr w14:val="tx1"/>
            </w14:solidFill>
          </w14:textFill>
        </w:rPr>
        <w:t>With that, the gNB-reader can</w:t>
      </w:r>
      <w:r>
        <w:rPr>
          <w:rFonts w:hint="eastAsia" w:cs="Arial" w:eastAsiaTheme="minorEastAsia"/>
          <w:color w:val="000000" w:themeColor="text1"/>
          <w14:textFill>
            <w14:solidFill>
              <w14:schemeClr w14:val="tx1"/>
            </w14:solidFill>
          </w14:textFill>
        </w:rPr>
        <w:t xml:space="preserve"> inventory</w:t>
      </w:r>
      <w:r>
        <w:rPr>
          <w:rFonts w:cs="Arial" w:eastAsiaTheme="minorEastAsia"/>
          <w:color w:val="000000" w:themeColor="text1"/>
          <w14:textFill>
            <w14:solidFill>
              <w14:schemeClr w14:val="tx1"/>
            </w14:solidFill>
          </w14:textFill>
        </w:rPr>
        <w:t xml:space="preserve"> the A-IoT device(s) whose association relationship with reader changes by transmitting specific A-IoT paging </w:t>
      </w:r>
      <w:r>
        <w:rPr>
          <w:rFonts w:hint="eastAsia" w:cs="Arial" w:eastAsiaTheme="minorEastAsia"/>
          <w:color w:val="000000" w:themeColor="text1"/>
          <w14:textFill>
            <w14:solidFill>
              <w14:schemeClr w14:val="tx1"/>
            </w14:solidFill>
          </w14:textFill>
        </w:rPr>
        <w:t>instead of always inventorying all A-IoT devices.</w:t>
      </w:r>
    </w:p>
    <w:p>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What</w:t>
      </w:r>
      <w:r>
        <w:rPr>
          <w:rFonts w:cs="Arial" w:eastAsiaTheme="minorEastAsia"/>
          <w:color w:val="000000" w:themeColor="text1"/>
          <w14:textFill>
            <w14:solidFill>
              <w14:schemeClr w14:val="tx1"/>
            </w14:solidFill>
          </w14:textFill>
        </w:rPr>
        <w:t>’</w:t>
      </w:r>
      <w:r>
        <w:rPr>
          <w:rFonts w:hint="eastAsia" w:cs="Arial" w:eastAsiaTheme="minorEastAsia"/>
          <w:color w:val="000000" w:themeColor="text1"/>
          <w14:textFill>
            <w14:solidFill>
              <w14:schemeClr w14:val="tx1"/>
            </w14:solidFill>
          </w14:textFill>
        </w:rPr>
        <w:t>s more, when different random access procedures (e.g. 2-step CBRA, 4-step CBRA, CFRA, etc.) are supported in Ambient IoT system, an identifier which indicates the method of random access may be needed. Note that CBRA and CFRA may be distinguished by whether dedicated D2R transmission resource is allocated or only shared D2R transmission resource is indicated. However, for random access procedures that cannot rely on implicit indications in A-IoT paging for differentiation, such as 2-step CBRA and 4-step CBRA, an identifier is necessary.</w:t>
      </w:r>
      <w:r>
        <w:rPr>
          <w:rFonts w:cs="Arial" w:eastAsiaTheme="minorEastAsia"/>
          <w:color w:val="000000" w:themeColor="text1"/>
          <w14:textFill>
            <w14:solidFill>
              <w14:schemeClr w14:val="tx1"/>
            </w14:solidFill>
          </w14:textFill>
        </w:rPr>
        <w:t xml:space="preserve">  </w:t>
      </w:r>
    </w:p>
    <w:p>
      <w:pPr>
        <w:overflowPunct/>
        <w:autoSpaceDE/>
        <w:autoSpaceDN/>
        <w:adjustRightInd/>
        <w:snapToGrid w:val="0"/>
        <w:spacing w:before="180" w:beforeLines="50" w:after="0" w:line="288" w:lineRule="auto"/>
        <w:textAlignment w:val="auto"/>
        <w:rPr>
          <w:rFonts w:cs="Arial"/>
          <w:b/>
          <w:bCs/>
          <w:szCs w:val="21"/>
        </w:rPr>
      </w:pPr>
      <w:r>
        <w:rPr>
          <w:rFonts w:hint="eastAsia" w:cs="Arial"/>
          <w:b/>
          <w:bCs/>
          <w:szCs w:val="21"/>
        </w:rPr>
        <w:t>Proposal 1</w:t>
      </w:r>
      <w:r>
        <w:rPr>
          <w:rFonts w:hint="eastAsia" w:cs="Arial" w:eastAsiaTheme="minorEastAsia"/>
          <w:b/>
          <w:bCs/>
          <w:szCs w:val="21"/>
        </w:rPr>
        <w:t>1</w:t>
      </w:r>
      <w:r>
        <w:rPr>
          <w:rFonts w:hint="eastAsia" w:cs="Arial"/>
          <w:b/>
          <w:bCs/>
          <w:szCs w:val="21"/>
        </w:rPr>
        <w:t xml:space="preserve">: With the consideration of support the association, re-association, etc. efficiently, an identifier of the reader or something like A-IoT paging area can be contained in A-IoT paging. </w:t>
      </w:r>
    </w:p>
    <w:p>
      <w:pPr>
        <w:overflowPunct/>
        <w:autoSpaceDE/>
        <w:autoSpaceDN/>
        <w:adjustRightInd/>
        <w:snapToGrid w:val="0"/>
        <w:spacing w:before="180" w:beforeLines="50" w:after="0" w:line="288" w:lineRule="auto"/>
        <w:textAlignment w:val="auto"/>
        <w:rPr>
          <w:rFonts w:cs="Arial"/>
          <w:b/>
          <w:bCs/>
          <w:szCs w:val="21"/>
        </w:rPr>
      </w:pPr>
      <w:r>
        <w:rPr>
          <w:rFonts w:hint="eastAsia" w:cs="Arial"/>
          <w:b/>
          <w:bCs/>
          <w:szCs w:val="21"/>
        </w:rPr>
        <w:t>Proposal 1</w:t>
      </w:r>
      <w:r>
        <w:rPr>
          <w:rFonts w:hint="eastAsia" w:cs="Arial" w:eastAsiaTheme="minorEastAsia"/>
          <w:b/>
          <w:bCs/>
          <w:szCs w:val="21"/>
        </w:rPr>
        <w:t>2</w:t>
      </w:r>
      <w:r>
        <w:rPr>
          <w:rFonts w:hint="eastAsia" w:cs="Arial"/>
          <w:b/>
          <w:bCs/>
          <w:szCs w:val="21"/>
        </w:rPr>
        <w:t>: When different random access procedures (e.g. 2-step CBRA, 4-step CBRA etc.) are supported, an identifier indicates the method of random access may be contained in A-IoT paging.</w:t>
      </w:r>
    </w:p>
    <w:p>
      <w:pPr>
        <w:pStyle w:val="61"/>
        <w:ind w:left="0" w:firstLine="0"/>
        <w:rPr>
          <w:rFonts w:eastAsia="宋体"/>
          <w:lang w:eastAsia="zh-CN"/>
        </w:rPr>
      </w:pPr>
    </w:p>
    <w:p>
      <w:pPr>
        <w:pStyle w:val="61"/>
        <w:spacing w:after="60"/>
        <w:ind w:left="0" w:firstLine="0"/>
        <w:outlineLvl w:val="2"/>
        <w:rPr>
          <w:rFonts w:cs="Arial" w:eastAsiaTheme="minorEastAsia"/>
          <w:color w:val="000000" w:themeColor="text1"/>
          <w:lang w:eastAsia="zh-CN"/>
          <w14:textFill>
            <w14:solidFill>
              <w14:schemeClr w14:val="tx1"/>
            </w14:solidFill>
          </w14:textFill>
        </w:rPr>
      </w:pPr>
      <w:r>
        <w:rPr>
          <w:rFonts w:hint="eastAsia" w:eastAsia="宋体"/>
          <w:lang w:eastAsia="zh-CN"/>
        </w:rPr>
        <w:t>2.2.4 Transmitting behavior</w:t>
      </w:r>
    </w:p>
    <w:p>
      <w:pPr>
        <w:pStyle w:val="61"/>
        <w:spacing w:after="0"/>
        <w:ind w:left="0" w:firstLine="0"/>
        <w:jc w:val="both"/>
        <w:rPr>
          <w:rFonts w:cs="Arial"/>
          <w:szCs w:val="21"/>
          <w:lang w:eastAsia="zh-CN"/>
        </w:rPr>
      </w:pPr>
      <w:r>
        <w:rPr>
          <w:rFonts w:hint="eastAsia" w:cs="Arial"/>
          <w:szCs w:val="21"/>
          <w:lang w:eastAsia="zh-CN"/>
        </w:rPr>
        <w:t>In RAN1#116, it has been agreed as following [2]:</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tcPr>
          <w:p>
            <w:pPr>
              <w:spacing w:after="0"/>
            </w:pPr>
            <w:r>
              <w:t>Agreement</w:t>
            </w:r>
          </w:p>
          <w:p>
            <w:pPr>
              <w:spacing w:after="0"/>
              <w:rPr>
                <w:color w:val="FF0000"/>
              </w:rPr>
            </w:pPr>
            <w:r>
              <w:t>For ambient IoT devices, at least for R2D data transmission, a physical channel (PRDCH) is studied,</w:t>
            </w:r>
          </w:p>
          <w:p>
            <w:pPr>
              <w:pStyle w:val="110"/>
              <w:numPr>
                <w:ilvl w:val="1"/>
                <w:numId w:val="14"/>
              </w:numPr>
              <w:snapToGrid w:val="0"/>
              <w:spacing w:after="0"/>
              <w:ind w:firstLine="400"/>
              <w:contextualSpacing/>
            </w:pPr>
            <w:r>
              <w:t>System information (if defined) is transmitted on the PRDCH</w:t>
            </w:r>
          </w:p>
          <w:p>
            <w:pPr>
              <w:pStyle w:val="110"/>
              <w:numPr>
                <w:ilvl w:val="1"/>
                <w:numId w:val="14"/>
              </w:numPr>
              <w:snapToGrid w:val="0"/>
              <w:spacing w:after="0"/>
              <w:ind w:firstLine="400"/>
              <w:contextualSpacing/>
            </w:pPr>
            <w:r>
              <w:t>FFS Whether/how control information is transmitted on the PRDCH</w:t>
            </w:r>
          </w:p>
          <w:p>
            <w:pPr>
              <w:pStyle w:val="110"/>
              <w:numPr>
                <w:ilvl w:val="0"/>
                <w:numId w:val="14"/>
              </w:numPr>
              <w:snapToGrid w:val="0"/>
              <w:spacing w:after="0"/>
              <w:ind w:firstLine="400"/>
              <w:contextualSpacing/>
              <w:rPr>
                <w:rFonts w:eastAsiaTheme="minorEastAsia"/>
              </w:rPr>
            </w:pPr>
            <w:r>
              <w:rPr>
                <w:rFonts w:hint="eastAsia"/>
              </w:rPr>
              <w:t>N</w:t>
            </w:r>
            <w:r>
              <w:t>ote: the naming of PRDCH is used for the sake of the study</w:t>
            </w:r>
          </w:p>
        </w:tc>
      </w:tr>
    </w:tbl>
    <w:p>
      <w:pPr>
        <w:pStyle w:val="61"/>
        <w:spacing w:after="0"/>
        <w:ind w:left="0" w:firstLine="0"/>
        <w:jc w:val="both"/>
        <w:rPr>
          <w:rFonts w:cs="Arial"/>
          <w:szCs w:val="21"/>
          <w:lang w:eastAsia="zh-CN"/>
        </w:rPr>
      </w:pPr>
      <w:r>
        <w:rPr>
          <w:rFonts w:hint="eastAsia" w:cs="Arial"/>
          <w:szCs w:val="21"/>
          <w:lang w:eastAsia="zh-CN"/>
        </w:rPr>
        <w:t>The PRDCH mentioned above is a physical channel defined between reader and A-IoT devices. According to NR, the short message is transmitted on PDCCH and the paging message is transmitted on PDSCH. For Ambient IoT, we do not find the necessity to introduce a new physical channel other than PRDCH to transmit A-IoT paging. Therefore, the A-IoT paging is transmitted on PRDCH. What</w:t>
      </w:r>
      <w:r>
        <w:rPr>
          <w:rFonts w:cs="Arial"/>
          <w:szCs w:val="21"/>
          <w:lang w:eastAsia="zh-CN"/>
        </w:rPr>
        <w:t>’</w:t>
      </w:r>
      <w:r>
        <w:rPr>
          <w:rFonts w:hint="eastAsia" w:cs="Arial"/>
          <w:szCs w:val="21"/>
          <w:lang w:eastAsia="zh-CN"/>
        </w:rPr>
        <w:t xml:space="preserve">s more, </w:t>
      </w:r>
      <w:r>
        <w:rPr>
          <w:rFonts w:hint="eastAsia" w:cs="Arial" w:eastAsiaTheme="minorEastAsia"/>
          <w:color w:val="000000" w:themeColor="text1"/>
          <w:lang w:eastAsia="zh-CN"/>
          <w14:textFill>
            <w14:solidFill>
              <w14:schemeClr w14:val="tx1"/>
            </w14:solidFill>
          </w14:textFill>
        </w:rPr>
        <w:t>the gNB-reader receives the A-IoT paging/service request from core network before transmitting the A-IoT paging to A-IoT devices on PRDCH. So far, we have not found any scenarios where gNB-reader or even intermediate UE triggers A-IoT paging transmission directly, with the consideration that topology 4 is not in SID. Thus, both gNB-reader-initiated and intermediate UE-initiated A-IoT paging are not supported in R19.</w:t>
      </w:r>
    </w:p>
    <w:p>
      <w:pPr>
        <w:snapToGrid w:val="0"/>
        <w:spacing w:before="180" w:beforeLines="50" w:line="288" w:lineRule="auto"/>
        <w:rPr>
          <w:rFonts w:cs="Arial"/>
          <w:b/>
          <w:bCs/>
          <w:szCs w:val="21"/>
        </w:rPr>
      </w:pPr>
      <w:r>
        <w:rPr>
          <w:rFonts w:hint="eastAsia" w:cs="Arial"/>
          <w:b/>
          <w:bCs/>
          <w:szCs w:val="21"/>
        </w:rPr>
        <w:t>Proposal 1</w:t>
      </w:r>
      <w:r>
        <w:rPr>
          <w:rFonts w:hint="eastAsia" w:cs="Arial" w:eastAsiaTheme="minorEastAsia"/>
          <w:b/>
          <w:bCs/>
          <w:szCs w:val="21"/>
        </w:rPr>
        <w:t>3</w:t>
      </w:r>
      <w:r>
        <w:rPr>
          <w:rFonts w:hint="eastAsia" w:cs="Arial"/>
          <w:b/>
          <w:bCs/>
          <w:szCs w:val="21"/>
        </w:rPr>
        <w:t>: The A-IoT paging is transmitted on PRDCH by a reader to Ambient IoT devices.</w:t>
      </w:r>
    </w:p>
    <w:p>
      <w:pPr>
        <w:snapToGrid w:val="0"/>
        <w:spacing w:before="180" w:beforeLines="50" w:line="288" w:lineRule="auto"/>
        <w:rPr>
          <w:rFonts w:cs="Arial"/>
          <w:b/>
          <w:bCs/>
          <w:szCs w:val="21"/>
        </w:rPr>
      </w:pPr>
      <w:r>
        <w:rPr>
          <w:rFonts w:hint="eastAsia" w:cs="Arial"/>
          <w:b/>
          <w:bCs/>
          <w:szCs w:val="21"/>
        </w:rPr>
        <w:t>Proposal 1</w:t>
      </w:r>
      <w:r>
        <w:rPr>
          <w:rFonts w:hint="eastAsia" w:cs="Arial" w:eastAsiaTheme="minorEastAsia"/>
          <w:b/>
          <w:bCs/>
          <w:szCs w:val="21"/>
        </w:rPr>
        <w:t>4</w:t>
      </w:r>
      <w:r>
        <w:rPr>
          <w:rFonts w:hint="eastAsia" w:cs="Arial"/>
          <w:b/>
          <w:bCs/>
          <w:szCs w:val="21"/>
        </w:rPr>
        <w:t>: Both gNB-reader-initiated and intermediate UE</w:t>
      </w:r>
      <w:r>
        <w:rPr>
          <w:rFonts w:hint="eastAsia" w:cs="Arial" w:eastAsiaTheme="minorEastAsia"/>
          <w:b/>
          <w:bCs/>
          <w:color w:val="000000" w:themeColor="text1"/>
          <w14:textFill>
            <w14:solidFill>
              <w14:schemeClr w14:val="tx1"/>
            </w14:solidFill>
          </w14:textFill>
        </w:rPr>
        <w:t>-initiated A-IoT paging are not supported in R19</w:t>
      </w:r>
      <w:r>
        <w:rPr>
          <w:rFonts w:hint="eastAsia" w:cs="Arial"/>
          <w:b/>
          <w:bCs/>
          <w:szCs w:val="21"/>
        </w:rPr>
        <w:t>.</w:t>
      </w:r>
    </w:p>
    <w:p>
      <w:pPr>
        <w:pStyle w:val="61"/>
        <w:spacing w:after="0"/>
        <w:ind w:left="0" w:firstLine="0"/>
        <w:jc w:val="both"/>
        <w:rPr>
          <w:rFonts w:cs="Arial"/>
          <w:szCs w:val="21"/>
          <w:lang w:eastAsia="zh-CN"/>
        </w:rPr>
      </w:pPr>
      <w:r>
        <w:rPr>
          <w:rFonts w:hint="eastAsia" w:cs="Arial"/>
          <w:szCs w:val="21"/>
          <w:lang w:eastAsia="zh-CN"/>
        </w:rPr>
        <w:t>In RAN2#125-bis meeting, it has been approved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1"/>
              <w:numPr>
                <w:ilvl w:val="0"/>
                <w:numId w:val="15"/>
              </w:numPr>
              <w:spacing w:after="0"/>
              <w:jc w:val="both"/>
              <w:rPr>
                <w:rFonts w:cs="Arial"/>
                <w:szCs w:val="21"/>
                <w:lang w:eastAsia="zh-CN"/>
              </w:rPr>
            </w:pPr>
            <w:r>
              <w:rPr>
                <w:rFonts w:hint="eastAsia" w:cs="Arial"/>
                <w:szCs w:val="21"/>
                <w:lang w:eastAsia="zh-CN"/>
              </w:rPr>
              <w:t xml:space="preserve">RAN2 assumes that RRC layer is not necessary between the reader and the device.   RAN2 will continue to study the functionalities required and later discuss whether we will have: 1) a new AS protocol on top of A-IoT MAC layer; or 2) A-IoT MAC </w:t>
            </w:r>
          </w:p>
        </w:tc>
      </w:tr>
    </w:tbl>
    <w:p>
      <w:pPr>
        <w:pStyle w:val="61"/>
        <w:spacing w:after="0"/>
        <w:ind w:left="0" w:firstLine="0"/>
        <w:jc w:val="both"/>
        <w:rPr>
          <w:rFonts w:cs="Arial"/>
          <w:szCs w:val="21"/>
          <w:lang w:eastAsia="zh-CN"/>
        </w:rPr>
      </w:pPr>
      <w:r>
        <w:rPr>
          <w:rFonts w:hint="eastAsia" w:cs="Arial"/>
          <w:szCs w:val="21"/>
          <w:lang w:eastAsia="zh-CN"/>
        </w:rPr>
        <w:t xml:space="preserve">With reference to our another paper [6], the introduction of a new AS protocol on top of A-IoT MAC layer is not necessary but increasing the complexity and power consumption of A-IoT devices. To this end, A-IoT paging is transmitted in A-IoT MAC layer. </w:t>
      </w:r>
      <w:r>
        <w:rPr>
          <w:rFonts w:hint="eastAsia" w:eastAsia="宋体"/>
          <w:color w:val="FF0000"/>
          <w:lang w:eastAsia="zh-CN"/>
        </w:rPr>
        <w:t xml:space="preserve"> </w:t>
      </w:r>
      <w:r>
        <w:rPr>
          <w:rFonts w:hint="eastAsia" w:eastAsia="宋体"/>
          <w:lang w:eastAsia="zh-CN"/>
        </w:rPr>
        <w:t xml:space="preserve">  </w:t>
      </w:r>
      <w:r>
        <w:rPr>
          <w:rFonts w:hint="eastAsia" w:cs="Arial"/>
          <w:szCs w:val="21"/>
          <w:lang w:eastAsia="zh-CN"/>
        </w:rPr>
        <w:t xml:space="preserve"> </w:t>
      </w:r>
    </w:p>
    <w:p>
      <w:pPr>
        <w:snapToGrid w:val="0"/>
        <w:spacing w:before="180" w:beforeLines="50" w:line="288" w:lineRule="auto"/>
        <w:rPr>
          <w:rFonts w:cs="Arial"/>
          <w:b/>
          <w:bCs/>
          <w:szCs w:val="21"/>
        </w:rPr>
      </w:pPr>
      <w:r>
        <w:rPr>
          <w:rFonts w:hint="eastAsia" w:cs="Arial"/>
          <w:b/>
          <w:bCs/>
          <w:szCs w:val="21"/>
        </w:rPr>
        <w:t>Proposal 1</w:t>
      </w:r>
      <w:r>
        <w:rPr>
          <w:rFonts w:hint="eastAsia" w:cs="Arial" w:eastAsiaTheme="minorEastAsia"/>
          <w:b/>
          <w:bCs/>
          <w:szCs w:val="21"/>
        </w:rPr>
        <w:t>5</w:t>
      </w:r>
      <w:r>
        <w:rPr>
          <w:rFonts w:hint="eastAsia" w:cs="Arial"/>
          <w:b/>
          <w:bCs/>
          <w:szCs w:val="21"/>
        </w:rPr>
        <w:t>: A-IoT paging is transmitted in A-IoT MAC layer.</w:t>
      </w:r>
    </w:p>
    <w:p>
      <w:pPr>
        <w:snapToGrid w:val="0"/>
        <w:spacing w:before="180" w:beforeLines="50" w:line="288" w:lineRule="auto"/>
        <w:rPr>
          <w:rFonts w:cs="Arial"/>
          <w:b/>
          <w:bCs/>
          <w:szCs w:val="21"/>
        </w:rPr>
      </w:pPr>
    </w:p>
    <w:p>
      <w:pPr>
        <w:pStyle w:val="61"/>
        <w:ind w:left="0" w:firstLine="0"/>
        <w:outlineLvl w:val="2"/>
        <w:rPr>
          <w:rFonts w:eastAsia="宋体"/>
          <w:lang w:eastAsia="zh-CN"/>
        </w:rPr>
      </w:pPr>
      <w:r>
        <w:rPr>
          <w:rFonts w:hint="eastAsia" w:eastAsia="宋体"/>
          <w:lang w:eastAsia="zh-CN"/>
        </w:rPr>
        <w:t>2.2.5 Monitoring behavior</w:t>
      </w:r>
    </w:p>
    <w:p>
      <w:pPr>
        <w:pStyle w:val="61"/>
        <w:spacing w:after="0"/>
        <w:ind w:left="0" w:firstLine="0"/>
        <w:jc w:val="both"/>
        <w:rPr>
          <w:rFonts w:eastAsia="宋体"/>
          <w:lang w:eastAsia="zh-CN"/>
        </w:rPr>
      </w:pPr>
      <w:r>
        <w:rPr>
          <w:rFonts w:hint="eastAsia" w:eastAsia="宋体"/>
          <w:lang w:eastAsia="zh-CN"/>
        </w:rPr>
        <w:t>In RAN2#125-bis meeting, it is agreed that</w:t>
      </w:r>
      <w:r>
        <w:rPr>
          <w:rFonts w:eastAsia="宋体"/>
          <w:lang w:eastAsia="zh-CN"/>
        </w:rPr>
        <w:t>:</w:t>
      </w:r>
    </w:p>
    <w:tbl>
      <w:tblPr>
        <w:tblStyle w:val="46"/>
        <w:tblpPr w:leftFromText="181" w:rightFromText="181" w:vertAnchor="text" w:tblpXSpec="center" w:tblpY="27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8" w:type="dxa"/>
          </w:tcPr>
          <w:p>
            <w:pPr>
              <w:widowControl w:val="0"/>
              <w:spacing w:after="0"/>
              <w:rPr>
                <w:rFonts w:eastAsiaTheme="minorEastAsia"/>
              </w:rPr>
            </w:pPr>
            <w:r>
              <w:rPr>
                <w:rFonts w:hint="eastAsia"/>
                <w:bCs/>
              </w:rPr>
              <w:t>2.</w:t>
            </w:r>
            <w:r>
              <w:rPr>
                <w:rFonts w:hint="eastAsia" w:eastAsia="宋体"/>
                <w:bCs/>
              </w:rPr>
              <w:t xml:space="preserve"> </w:t>
            </w:r>
            <w:r>
              <w:rPr>
                <w:rFonts w:hint="eastAsia"/>
                <w:bCs/>
              </w:rPr>
              <w:t>Legacy paging occasion and legacy DRX for the device is not supported.  This doesn’t preclude solutions that address device monitoring (taking into account discussions from RAN1 as well).</w:t>
            </w:r>
          </w:p>
        </w:tc>
      </w:tr>
    </w:tbl>
    <w:p>
      <w:pPr>
        <w:pStyle w:val="61"/>
        <w:spacing w:after="0"/>
        <w:ind w:left="0" w:firstLine="0"/>
        <w:jc w:val="both"/>
        <w:rPr>
          <w:rFonts w:cs="Arial"/>
          <w:szCs w:val="21"/>
          <w:lang w:eastAsia="zh-CN"/>
        </w:rPr>
      </w:pPr>
      <w:r>
        <w:rPr>
          <w:rFonts w:hint="eastAsia" w:cs="Arial"/>
          <w:szCs w:val="21"/>
          <w:lang w:eastAsia="zh-CN"/>
        </w:rPr>
        <w:t>While it is clear that the monitoring behavior is closely related to whether Ambient IoT is synchronous or asynchronous system which should be discussed in RAN1. From the perspective of reducing the complexity of A-IoT devices, Ambient IoT system is more likely an asynchronous system. To this end, each Ambient IoT device should always monitors the PRDCH as long as the Ambient IoT device is activated. Here, the meaning of being activated is that the device has sufficient energy and has not been deactivated permanently.</w:t>
      </w:r>
    </w:p>
    <w:p>
      <w:pPr>
        <w:snapToGrid w:val="0"/>
        <w:spacing w:before="180" w:beforeLines="50" w:line="288" w:lineRule="auto"/>
        <w:rPr>
          <w:rFonts w:cs="Arial"/>
          <w:b/>
          <w:bCs/>
          <w:szCs w:val="21"/>
        </w:rPr>
      </w:pPr>
      <w:r>
        <w:rPr>
          <w:rFonts w:hint="eastAsia" w:cs="Arial"/>
          <w:b/>
          <w:bCs/>
          <w:szCs w:val="21"/>
        </w:rPr>
        <w:t>Observation 4: The monitoring behavior is closely related to whether Ambient IoT is synchronous or asynchronous system which should be discussed in RAN1.</w:t>
      </w:r>
    </w:p>
    <w:p>
      <w:pPr>
        <w:snapToGrid w:val="0"/>
        <w:spacing w:before="180" w:beforeLines="50" w:line="288" w:lineRule="auto"/>
        <w:rPr>
          <w:rFonts w:cs="Arial"/>
          <w:b/>
          <w:bCs/>
          <w:szCs w:val="21"/>
        </w:rPr>
      </w:pPr>
      <w:r>
        <w:rPr>
          <w:rFonts w:hint="eastAsia" w:cs="Arial"/>
          <w:b/>
          <w:bCs/>
          <w:szCs w:val="21"/>
        </w:rPr>
        <w:t>Proposal 1</w:t>
      </w:r>
      <w:r>
        <w:rPr>
          <w:rFonts w:hint="eastAsia" w:cs="Arial" w:eastAsiaTheme="minorEastAsia"/>
          <w:b/>
          <w:bCs/>
          <w:szCs w:val="21"/>
        </w:rPr>
        <w:t>6</w:t>
      </w:r>
      <w:r>
        <w:rPr>
          <w:rFonts w:hint="eastAsia" w:cs="Arial"/>
          <w:b/>
          <w:bCs/>
          <w:szCs w:val="21"/>
        </w:rPr>
        <w:t>: From the perspective of reducing the complexity of A-IoT devices, RAN2 can assume Ambient IoT is an asynchronous system at this stage.</w:t>
      </w:r>
    </w:p>
    <w:p>
      <w:pPr>
        <w:snapToGrid w:val="0"/>
        <w:spacing w:before="180" w:beforeLines="50" w:line="288" w:lineRule="auto"/>
        <w:rPr>
          <w:rFonts w:cs="Arial"/>
          <w:b/>
          <w:bCs/>
          <w:szCs w:val="21"/>
        </w:rPr>
      </w:pPr>
      <w:r>
        <w:rPr>
          <w:rFonts w:hint="eastAsia" w:cs="Arial"/>
          <w:b/>
          <w:bCs/>
          <w:szCs w:val="21"/>
        </w:rPr>
        <w:t>Proposal 1</w:t>
      </w:r>
      <w:r>
        <w:rPr>
          <w:rFonts w:hint="eastAsia" w:cs="Arial" w:eastAsiaTheme="minorEastAsia"/>
          <w:b/>
          <w:bCs/>
          <w:szCs w:val="21"/>
        </w:rPr>
        <w:t>7</w:t>
      </w:r>
      <w:r>
        <w:rPr>
          <w:rFonts w:hint="eastAsia" w:cs="Arial"/>
          <w:b/>
          <w:bCs/>
          <w:szCs w:val="21"/>
        </w:rPr>
        <w:t>: If Ambient IoT is defined as an asynchronous system, each Ambient IoT device should always monitors the PRDCH as long as the Ambient IoT device has sufficient energy and has not been deactivated permanently.</w:t>
      </w:r>
    </w:p>
    <w:p>
      <w:pPr>
        <w:snapToGrid w:val="0"/>
        <w:spacing w:before="180" w:beforeLines="50" w:line="288" w:lineRule="auto"/>
        <w:rPr>
          <w:rFonts w:cs="Arial"/>
          <w:b/>
          <w:bCs/>
          <w:szCs w:val="21"/>
        </w:rPr>
      </w:pPr>
    </w:p>
    <w:p>
      <w:pPr>
        <w:snapToGrid w:val="0"/>
        <w:spacing w:before="180" w:beforeLines="50" w:line="288" w:lineRule="auto"/>
        <w:outlineLvl w:val="2"/>
        <w:rPr>
          <w:rFonts w:cs="Arial"/>
          <w:szCs w:val="21"/>
        </w:rPr>
      </w:pPr>
      <w:r>
        <w:rPr>
          <w:rFonts w:hint="eastAsia" w:cs="Arial"/>
          <w:szCs w:val="21"/>
        </w:rPr>
        <w:t>2.2.6 A-IoT paging procedure</w:t>
      </w:r>
    </w:p>
    <w:p>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Based on above analysis, the general A-IoT paging procedure can be given in Fig. 2.</w:t>
      </w:r>
    </w:p>
    <w:p>
      <w:pPr>
        <w:spacing w:after="0"/>
        <w:rPr>
          <w:rFonts w:cs="Arial" w:eastAsiaTheme="minorEastAsia"/>
          <w:color w:val="000000" w:themeColor="text1"/>
          <w14:textFill>
            <w14:solidFill>
              <w14:schemeClr w14:val="tx1"/>
            </w14:solidFill>
          </w14:textFill>
        </w:rPr>
      </w:pPr>
      <w:r>
        <w:rPr>
          <w:rFonts w:cs="Arial" w:eastAsiaTheme="minorEastAsia"/>
          <w:color w:val="000000" w:themeColor="text1"/>
          <w14:textFill>
            <w14:solidFill>
              <w14:schemeClr w14:val="tx1"/>
            </w14:solidFill>
          </w14:textFill>
        </w:rPr>
        <w:object>
          <v:shape id="_x0000_i1026" o:spt="75" type="#_x0000_t75" style="height:131pt;width:482pt;" o:ole="t" filled="f" o:preferrelative="t" stroked="f" coordsize="21600,21600">
            <v:path/>
            <v:fill on="f" focussize="0,0"/>
            <v:stroke on="f" joinstyle="miter"/>
            <v:imagedata r:id="rId14" o:title=""/>
            <o:lock v:ext="edit" aspectratio="f"/>
            <w10:wrap type="none"/>
            <w10:anchorlock/>
          </v:shape>
          <o:OLEObject Type="Embed" ProgID="Visio.Drawing.15" ShapeID="_x0000_i1026" DrawAspect="Content" ObjectID="_1468075726" r:id="rId13">
            <o:LockedField>false</o:LockedField>
          </o:OLEObject>
        </w:object>
      </w:r>
    </w:p>
    <w:p>
      <w:pPr>
        <w:pStyle w:val="61"/>
        <w:spacing w:after="0"/>
        <w:ind w:left="0" w:firstLine="0"/>
        <w:jc w:val="center"/>
        <w:rPr>
          <w:rFonts w:eastAsia="宋体" w:cs="Arial"/>
          <w:b/>
          <w:bCs/>
          <w:lang w:eastAsia="zh-CN"/>
        </w:rPr>
      </w:pPr>
      <w:r>
        <w:rPr>
          <w:rFonts w:cs="Arial"/>
          <w:b/>
          <w:bCs/>
        </w:rPr>
        <w:t xml:space="preserve">Figure </w:t>
      </w:r>
      <w:r>
        <w:rPr>
          <w:rFonts w:hint="eastAsia" w:eastAsia="宋体" w:cs="Arial"/>
          <w:b/>
          <w:bCs/>
          <w:lang w:eastAsia="zh-CN"/>
        </w:rPr>
        <w:t>2</w:t>
      </w:r>
      <w:r>
        <w:rPr>
          <w:rFonts w:cs="Arial"/>
          <w:b/>
          <w:bCs/>
        </w:rPr>
        <w:t xml:space="preserve">: </w:t>
      </w:r>
      <w:r>
        <w:rPr>
          <w:rFonts w:hint="eastAsia" w:eastAsia="宋体" w:cs="Arial"/>
          <w:b/>
          <w:bCs/>
          <w:lang w:eastAsia="zh-CN"/>
        </w:rPr>
        <w:t>General A-IoT paging procedure</w:t>
      </w:r>
    </w:p>
    <w:p>
      <w:pPr>
        <w:pStyle w:val="61"/>
        <w:spacing w:after="0"/>
        <w:ind w:left="0" w:firstLine="0"/>
        <w:jc w:val="both"/>
        <w:rPr>
          <w:rFonts w:hint="eastAsia" w:eastAsia="宋体" w:cs="Arial"/>
          <w:lang w:eastAsia="zh-CN"/>
        </w:rPr>
      </w:pPr>
      <w:r>
        <w:rPr>
          <w:rFonts w:hint="eastAsia" w:eastAsia="宋体" w:cs="Arial"/>
          <w:lang w:eastAsia="zh-CN"/>
        </w:rPr>
        <w:t>To be specific, the gNB-reader receives an A-IoT paging (trigger cause, device ID(s)/mask ID/feature ID/no ID, etc.) transmitted from CN. The gNB-reader identifies the trigger cause in A-IoT paging from CN and allocates the D2R resources. After that, the gNB-reader transmits an A-IoT paging (trigger cause, device ID(s)/mask ID/feature ID/no ID, etc.) in A-IoT MAC layer.</w:t>
      </w:r>
    </w:p>
    <w:p>
      <w:pPr>
        <w:snapToGrid w:val="0"/>
        <w:spacing w:before="180" w:beforeLines="50" w:line="288" w:lineRule="auto"/>
        <w:rPr>
          <w:rFonts w:hint="eastAsia" w:eastAsia="宋体" w:cs="Arial"/>
          <w:lang w:eastAsia="zh-CN"/>
        </w:rPr>
      </w:pPr>
      <w:r>
        <w:rPr>
          <w:rFonts w:hint="eastAsia" w:cs="Arial"/>
          <w:b/>
          <w:bCs/>
          <w:szCs w:val="21"/>
        </w:rPr>
        <w:t>Proposal 1</w:t>
      </w:r>
      <w:r>
        <w:rPr>
          <w:rFonts w:hint="eastAsia" w:cs="Arial" w:eastAsiaTheme="minorEastAsia"/>
          <w:b/>
          <w:bCs/>
          <w:szCs w:val="21"/>
          <w:lang w:val="en-US" w:eastAsia="zh-CN"/>
        </w:rPr>
        <w:t>8</w:t>
      </w:r>
      <w:r>
        <w:rPr>
          <w:rFonts w:hint="eastAsia" w:cs="Arial"/>
          <w:b/>
          <w:bCs/>
          <w:szCs w:val="21"/>
        </w:rPr>
        <w:t xml:space="preserve">: </w:t>
      </w:r>
      <w:r>
        <w:rPr>
          <w:rFonts w:hint="eastAsia" w:eastAsia="宋体" w:cs="Arial"/>
          <w:b/>
          <w:bCs/>
          <w:szCs w:val="21"/>
          <w:lang w:val="en-US" w:eastAsia="zh-CN"/>
        </w:rPr>
        <w:t>RNA2 can capture the A-IoT paging procedure shown as Figure 2 to TR as a baseline</w:t>
      </w:r>
      <w:r>
        <w:rPr>
          <w:rFonts w:hint="eastAsia" w:cs="Arial"/>
          <w:b/>
          <w:bCs/>
          <w:szCs w:val="21"/>
        </w:rPr>
        <w:t>.</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on paging for Ambient IoT</w:t>
      </w:r>
      <w:r>
        <w:rPr>
          <w:rFonts w:eastAsia="宋体" w:cs="Arial"/>
          <w:color w:val="000000" w:themeColor="text1"/>
          <w14:textFill>
            <w14:solidFill>
              <w14:schemeClr w14:val="tx1"/>
            </w14:solidFill>
          </w14:textFill>
        </w:rPr>
        <w:t>:</w:t>
      </w:r>
    </w:p>
    <w:p>
      <w:pPr>
        <w:snapToGrid w:val="0"/>
        <w:spacing w:before="180" w:beforeLines="50" w:line="288" w:lineRule="auto"/>
        <w:rPr>
          <w:rFonts w:eastAsia="宋体" w:cs="Arial"/>
          <w:b/>
          <w:bCs/>
          <w:szCs w:val="21"/>
        </w:rPr>
      </w:pPr>
      <w:r>
        <w:rPr>
          <w:rFonts w:hint="eastAsia" w:cs="Arial"/>
          <w:b/>
          <w:bCs/>
          <w:szCs w:val="21"/>
        </w:rPr>
        <w:t>O</w:t>
      </w:r>
      <w:r>
        <w:rPr>
          <w:rFonts w:cs="Arial"/>
          <w:b/>
          <w:bCs/>
          <w:szCs w:val="21"/>
        </w:rPr>
        <w:t xml:space="preserve">bservation 1: </w:t>
      </w:r>
      <w:r>
        <w:rPr>
          <w:rFonts w:hint="eastAsia" w:eastAsia="宋体" w:cs="Arial"/>
          <w:b/>
          <w:bCs/>
          <w:szCs w:val="21"/>
        </w:rPr>
        <w:t>T</w:t>
      </w:r>
      <w:r>
        <w:rPr>
          <w:rFonts w:hint="eastAsia" w:cs="Arial"/>
          <w:b/>
          <w:bCs/>
          <w:szCs w:val="21"/>
        </w:rPr>
        <w:t>he paging-like functionality in RFID is achieved with the Select command and Query command.</w:t>
      </w:r>
      <w:r>
        <w:rPr>
          <w:rFonts w:hint="eastAsia" w:eastAsia="宋体" w:cs="Arial"/>
          <w:b/>
          <w:bCs/>
          <w:szCs w:val="21"/>
        </w:rPr>
        <w:t xml:space="preserve"> The reader groups the tags with Select and allocates resources for the specified group of tags with Query.</w:t>
      </w:r>
    </w:p>
    <w:p>
      <w:pPr>
        <w:snapToGrid w:val="0"/>
        <w:spacing w:before="180" w:beforeLines="50" w:line="288" w:lineRule="auto"/>
        <w:rPr>
          <w:rFonts w:eastAsia="宋体" w:cs="Arial"/>
          <w:b/>
          <w:bCs/>
          <w:szCs w:val="21"/>
        </w:rPr>
      </w:pPr>
      <w:r>
        <w:rPr>
          <w:rFonts w:hint="eastAsia" w:eastAsia="宋体" w:cs="Arial"/>
          <w:b/>
          <w:bCs/>
          <w:szCs w:val="21"/>
        </w:rPr>
        <w:t>Observation 2: In RFID, the command procedure to one Tag is always right after the successfully inventorying it.</w:t>
      </w:r>
    </w:p>
    <w:p>
      <w:pPr>
        <w:snapToGrid w:val="0"/>
        <w:spacing w:before="180" w:beforeLines="50" w:line="288" w:lineRule="auto"/>
        <w:rPr>
          <w:rFonts w:eastAsia="宋体" w:cs="Arial"/>
          <w:b/>
          <w:bCs/>
          <w:szCs w:val="21"/>
        </w:rPr>
      </w:pPr>
      <w:r>
        <w:rPr>
          <w:rFonts w:hint="eastAsia" w:eastAsia="宋体" w:cs="Arial"/>
          <w:b/>
          <w:bCs/>
          <w:szCs w:val="21"/>
        </w:rPr>
        <w:t>Observation 3: P</w:t>
      </w:r>
      <w:r>
        <w:rPr>
          <w:rFonts w:hint="eastAsia" w:eastAsia="宋体"/>
          <w:b/>
          <w:bCs/>
        </w:rPr>
        <w:t>aging-like commands in RFID which includes Select command and Query command can serve as a basic reference when designing A-IoT paging</w:t>
      </w:r>
      <w:r>
        <w:rPr>
          <w:rFonts w:hint="eastAsia" w:eastAsia="宋体" w:cs="Arial"/>
          <w:b/>
          <w:bCs/>
          <w:szCs w:val="21"/>
        </w:rPr>
        <w:t>.</w:t>
      </w:r>
    </w:p>
    <w:p>
      <w:pPr>
        <w:snapToGrid w:val="0"/>
        <w:spacing w:before="180" w:beforeLines="50" w:line="288" w:lineRule="auto"/>
      </w:pPr>
      <w:r>
        <w:rPr>
          <w:rFonts w:hint="eastAsia" w:cs="Arial"/>
          <w:b/>
          <w:bCs/>
          <w:szCs w:val="21"/>
        </w:rPr>
        <w:t>Observation 4: The monitoring behavior is closely related to whether Ambient IoT is synchronous or asynchronous system which should be discussed in RAN1.</w:t>
      </w:r>
    </w:p>
    <w:p/>
    <w:p>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b/>
          <w:bCs/>
          <w:szCs w:val="21"/>
        </w:rPr>
        <w:t>Proposal 1: The A-IoT paging can indicate which device(s) need to response.</w:t>
      </w:r>
    </w:p>
    <w:p>
      <w:pPr>
        <w:autoSpaceDE/>
        <w:autoSpaceDN/>
        <w:snapToGrid w:val="0"/>
        <w:spacing w:after="0" w:line="360" w:lineRule="auto"/>
        <w:rPr>
          <w:rFonts w:cs="Arial"/>
          <w:b/>
          <w:bCs/>
          <w:szCs w:val="21"/>
        </w:rPr>
      </w:pPr>
      <w:r>
        <w:rPr>
          <w:rFonts w:hint="eastAsia" w:cs="Arial"/>
          <w:b/>
          <w:bCs/>
          <w:szCs w:val="21"/>
        </w:rPr>
        <w:t>Proposal 2: A-IoT paging may be:</w:t>
      </w:r>
    </w:p>
    <w:p>
      <w:pPr>
        <w:autoSpaceDE/>
        <w:autoSpaceDN/>
        <w:snapToGrid w:val="0"/>
        <w:spacing w:after="0" w:line="360" w:lineRule="auto"/>
        <w:ind w:firstLine="1301" w:firstLineChars="650"/>
        <w:rPr>
          <w:rFonts w:cs="Arial" w:eastAsiaTheme="minorEastAsia"/>
          <w:b/>
          <w:bCs/>
          <w:color w:val="000000" w:themeColor="text1"/>
          <w14:textFill>
            <w14:solidFill>
              <w14:schemeClr w14:val="tx1"/>
            </w14:solidFill>
          </w14:textFill>
        </w:rPr>
      </w:pPr>
      <w:r>
        <w:rPr>
          <w:rFonts w:hint="eastAsia" w:cs="Arial"/>
          <w:b/>
          <w:bCs/>
          <w:szCs w:val="21"/>
        </w:rPr>
        <w:t xml:space="preserve">Option 1: </w:t>
      </w:r>
      <w:r>
        <w:rPr>
          <w:rFonts w:hint="eastAsia" w:cs="Arial" w:eastAsiaTheme="minorEastAsia"/>
          <w:b/>
          <w:bCs/>
          <w:color w:val="000000" w:themeColor="text1"/>
          <w14:textFill>
            <w14:solidFill>
              <w14:schemeClr w14:val="tx1"/>
            </w14:solidFill>
          </w14:textFill>
        </w:rPr>
        <w:t>one message;</w:t>
      </w:r>
    </w:p>
    <w:p>
      <w:pPr>
        <w:autoSpaceDE/>
        <w:autoSpaceDN/>
        <w:snapToGrid w:val="0"/>
        <w:spacing w:after="0" w:line="360" w:lineRule="auto"/>
        <w:ind w:firstLine="1305" w:firstLineChars="650"/>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Option 2: a set of messages which consists two or more messages.</w:t>
      </w:r>
    </w:p>
    <w:p>
      <w:pPr>
        <w:snapToGrid w:val="0"/>
        <w:spacing w:before="180" w:beforeLines="50" w:line="288" w:lineRule="auto"/>
        <w:rPr>
          <w:rFonts w:eastAsia="宋体"/>
          <w:b/>
          <w:bCs/>
        </w:rPr>
      </w:pPr>
      <w:r>
        <w:rPr>
          <w:rFonts w:hint="eastAsia" w:cs="Arial"/>
          <w:b/>
          <w:bCs/>
          <w:szCs w:val="21"/>
        </w:rPr>
        <w:t xml:space="preserve">Proposal 3: A-IoT paging targets to </w:t>
      </w:r>
      <w:r>
        <w:rPr>
          <w:rFonts w:hint="eastAsia" w:eastAsia="宋体"/>
          <w:b/>
          <w:bCs/>
        </w:rPr>
        <w:t>a single device, group of devices, or all devices.</w:t>
      </w:r>
    </w:p>
    <w:p>
      <w:pPr>
        <w:autoSpaceDE/>
        <w:autoSpaceDN/>
        <w:snapToGrid w:val="0"/>
        <w:spacing w:after="0" w:line="360" w:lineRule="auto"/>
        <w:rPr>
          <w:rFonts w:eastAsia="宋体"/>
          <w:b/>
          <w:bCs/>
        </w:rPr>
      </w:pPr>
      <w:r>
        <w:rPr>
          <w:rFonts w:hint="eastAsia" w:cs="Arial"/>
          <w:b/>
          <w:bCs/>
          <w:szCs w:val="21"/>
        </w:rPr>
        <w:t>Proposal 4: If the message content of A-IoT paging includes:</w:t>
      </w:r>
    </w:p>
    <w:p>
      <w:pPr>
        <w:autoSpaceDE/>
        <w:autoSpaceDN/>
        <w:snapToGrid w:val="0"/>
        <w:spacing w:after="0" w:line="360" w:lineRule="auto"/>
        <w:ind w:firstLine="1305" w:firstLineChars="650"/>
        <w:rPr>
          <w:rFonts w:eastAsia="宋体"/>
          <w:b/>
          <w:bCs/>
        </w:rPr>
      </w:pPr>
      <w:r>
        <w:rPr>
          <w:rFonts w:eastAsia="宋体"/>
          <w:b/>
          <w:bCs/>
        </w:rPr>
        <w:t xml:space="preserve">a) </w:t>
      </w:r>
      <w:r>
        <w:rPr>
          <w:rFonts w:hint="eastAsia" w:eastAsia="宋体"/>
          <w:b/>
          <w:bCs/>
        </w:rPr>
        <w:t>single</w:t>
      </w:r>
      <w:r>
        <w:rPr>
          <w:rFonts w:eastAsia="宋体"/>
          <w:b/>
          <w:bCs/>
        </w:rPr>
        <w:t xml:space="preserve"> device ID</w:t>
      </w:r>
      <w:r>
        <w:rPr>
          <w:rFonts w:hint="eastAsia" w:eastAsia="宋体"/>
          <w:b/>
          <w:bCs/>
        </w:rPr>
        <w:t>, it</w:t>
      </w:r>
      <w:r>
        <w:rPr>
          <w:rFonts w:eastAsia="宋体"/>
          <w:b/>
          <w:bCs/>
        </w:rPr>
        <w:t xml:space="preserve"> select</w:t>
      </w:r>
      <w:r>
        <w:rPr>
          <w:rFonts w:hint="eastAsia" w:eastAsia="宋体"/>
          <w:b/>
          <w:bCs/>
        </w:rPr>
        <w:t>s a</w:t>
      </w:r>
      <w:r>
        <w:rPr>
          <w:rFonts w:eastAsia="宋体"/>
          <w:b/>
          <w:bCs/>
        </w:rPr>
        <w:t xml:space="preserve"> signal device</w:t>
      </w:r>
      <w:r>
        <w:rPr>
          <w:rFonts w:hint="eastAsia" w:eastAsia="宋体"/>
          <w:b/>
          <w:bCs/>
        </w:rPr>
        <w:t>;</w:t>
      </w:r>
    </w:p>
    <w:p>
      <w:pPr>
        <w:autoSpaceDE/>
        <w:autoSpaceDN/>
        <w:snapToGrid w:val="0"/>
        <w:spacing w:after="0" w:line="360" w:lineRule="auto"/>
        <w:ind w:firstLine="1305" w:firstLineChars="650"/>
        <w:rPr>
          <w:rFonts w:eastAsia="宋体"/>
          <w:b/>
          <w:bCs/>
        </w:rPr>
      </w:pPr>
      <w:r>
        <w:rPr>
          <w:rFonts w:eastAsia="宋体"/>
          <w:b/>
          <w:bCs/>
        </w:rPr>
        <w:t>b) mask ID, feature ID or a list of device IDs</w:t>
      </w:r>
      <w:r>
        <w:rPr>
          <w:rFonts w:hint="eastAsia" w:eastAsia="宋体"/>
          <w:b/>
          <w:bCs/>
        </w:rPr>
        <w:t>, it</w:t>
      </w:r>
      <w:r>
        <w:rPr>
          <w:rFonts w:eastAsia="宋体"/>
          <w:b/>
          <w:bCs/>
        </w:rPr>
        <w:t xml:space="preserve"> select</w:t>
      </w:r>
      <w:r>
        <w:rPr>
          <w:rFonts w:hint="eastAsia" w:eastAsia="宋体"/>
          <w:b/>
          <w:bCs/>
        </w:rPr>
        <w:t>s a</w:t>
      </w:r>
      <w:r>
        <w:rPr>
          <w:rFonts w:eastAsia="宋体"/>
          <w:b/>
          <w:bCs/>
        </w:rPr>
        <w:t xml:space="preserve"> </w:t>
      </w:r>
      <w:r>
        <w:rPr>
          <w:rFonts w:hint="eastAsia" w:eastAsia="宋体"/>
          <w:b/>
          <w:bCs/>
        </w:rPr>
        <w:t>g</w:t>
      </w:r>
      <w:r>
        <w:rPr>
          <w:rFonts w:eastAsia="宋体"/>
          <w:b/>
          <w:bCs/>
        </w:rPr>
        <w:t>roup</w:t>
      </w:r>
      <w:r>
        <w:rPr>
          <w:rFonts w:hint="eastAsia" w:eastAsia="宋体"/>
          <w:b/>
          <w:bCs/>
        </w:rPr>
        <w:t xml:space="preserve"> of</w:t>
      </w:r>
      <w:r>
        <w:rPr>
          <w:rFonts w:eastAsia="宋体"/>
          <w:b/>
          <w:bCs/>
        </w:rPr>
        <w:t xml:space="preserve"> device</w:t>
      </w:r>
      <w:r>
        <w:rPr>
          <w:rFonts w:hint="eastAsia" w:eastAsia="宋体"/>
          <w:b/>
          <w:bCs/>
        </w:rPr>
        <w:t>s;</w:t>
      </w:r>
    </w:p>
    <w:p>
      <w:pPr>
        <w:autoSpaceDE/>
        <w:autoSpaceDN/>
        <w:snapToGrid w:val="0"/>
        <w:spacing w:after="0" w:line="360" w:lineRule="auto"/>
        <w:ind w:firstLine="1305" w:firstLineChars="650"/>
        <w:rPr>
          <w:rFonts w:eastAsia="宋体"/>
          <w:b/>
          <w:bCs/>
        </w:rPr>
      </w:pPr>
      <w:r>
        <w:rPr>
          <w:rFonts w:eastAsia="宋体"/>
          <w:b/>
          <w:bCs/>
        </w:rPr>
        <w:t xml:space="preserve">c) </w:t>
      </w:r>
      <w:r>
        <w:rPr>
          <w:rFonts w:hint="eastAsia" w:eastAsia="宋体"/>
          <w:b/>
          <w:bCs/>
        </w:rPr>
        <w:t xml:space="preserve">no ID, it selects </w:t>
      </w:r>
      <w:r>
        <w:rPr>
          <w:rFonts w:eastAsia="宋体"/>
          <w:b/>
          <w:bCs/>
        </w:rPr>
        <w:t>all device</w:t>
      </w:r>
      <w:r>
        <w:rPr>
          <w:rFonts w:hint="eastAsia" w:eastAsia="宋体"/>
          <w:b/>
          <w:bCs/>
        </w:rPr>
        <w:t>s.</w:t>
      </w:r>
    </w:p>
    <w:p>
      <w:pPr>
        <w:autoSpaceDE/>
        <w:autoSpaceDN/>
        <w:snapToGrid w:val="0"/>
        <w:spacing w:after="0" w:line="360" w:lineRule="auto"/>
        <w:rPr>
          <w:rFonts w:eastAsia="宋体"/>
          <w:b/>
          <w:bCs/>
        </w:rPr>
      </w:pPr>
      <w:r>
        <w:rPr>
          <w:rFonts w:hint="eastAsia" w:eastAsia="宋体"/>
          <w:b/>
          <w:bCs/>
        </w:rPr>
        <w:t xml:space="preserve">           </w:t>
      </w:r>
      <w:r>
        <w:rPr>
          <w:rFonts w:hint="eastAsia" w:eastAsia="宋体"/>
          <w:b/>
          <w:bCs/>
        </w:rPr>
        <w:tab/>
      </w:r>
      <w:r>
        <w:rPr>
          <w:rFonts w:hint="eastAsia" w:eastAsia="宋体"/>
          <w:b/>
          <w:bCs/>
        </w:rPr>
        <w:t>FFS device ID, mask ID, feature ID, etc. are temporary or permanent</w:t>
      </w:r>
    </w:p>
    <w:p>
      <w:pPr>
        <w:snapToGrid w:val="0"/>
        <w:spacing w:before="180" w:beforeLines="50" w:line="288" w:lineRule="auto"/>
        <w:rPr>
          <w:rFonts w:eastAsia="宋体"/>
          <w:b/>
          <w:bCs/>
        </w:rPr>
      </w:pPr>
      <w:r>
        <w:rPr>
          <w:rFonts w:hint="eastAsia" w:cs="Arial"/>
          <w:b/>
          <w:bCs/>
          <w:szCs w:val="21"/>
        </w:rPr>
        <w:t>Proposal 5: In A-IoT paging,</w:t>
      </w:r>
      <w:r>
        <w:rPr>
          <w:rFonts w:hint="eastAsia" w:cs="Arial" w:eastAsiaTheme="minorEastAsia"/>
          <w:b/>
          <w:bCs/>
          <w:color w:val="000000" w:themeColor="text1"/>
          <w14:textFill>
            <w14:solidFill>
              <w14:schemeClr w14:val="tx1"/>
            </w14:solidFill>
          </w14:textFill>
        </w:rPr>
        <w:t xml:space="preserve"> an identifier should be contained for target A-IoT devices identifying the trigger cause (e.g. inventory, command, etc.)</w:t>
      </w:r>
      <w:r>
        <w:rPr>
          <w:rFonts w:hint="eastAsia" w:eastAsia="宋体"/>
          <w:b/>
          <w:bCs/>
        </w:rPr>
        <w:t>.</w:t>
      </w:r>
    </w:p>
    <w:p>
      <w:pPr>
        <w:snapToGrid w:val="0"/>
        <w:spacing w:before="180" w:beforeLines="50" w:line="288" w:lineRule="auto"/>
        <w:rPr>
          <w:rFonts w:eastAsia="宋体"/>
          <w:b/>
          <w:bCs/>
        </w:rPr>
      </w:pPr>
      <w:r>
        <w:rPr>
          <w:rFonts w:hint="eastAsia" w:eastAsia="宋体"/>
          <w:b/>
          <w:bCs/>
        </w:rPr>
        <w:t xml:space="preserve">Proposal 6: The type of A-IoT paging/service request transmitted form CN (e.g. inventory, command, etc.) should be </w:t>
      </w:r>
      <w:r>
        <w:rPr>
          <w:rFonts w:hint="eastAsia" w:eastAsia="宋体"/>
          <w:b/>
          <w:bCs/>
          <w:lang w:val="en-US" w:eastAsia="zh-CN"/>
        </w:rPr>
        <w:t>visible to</w:t>
      </w:r>
      <w:r>
        <w:rPr>
          <w:rFonts w:hint="eastAsia" w:eastAsia="宋体"/>
          <w:b/>
          <w:bCs/>
        </w:rPr>
        <w:t xml:space="preserve"> gNB.</w:t>
      </w:r>
    </w:p>
    <w:p>
      <w:pPr>
        <w:snapToGrid w:val="0"/>
        <w:spacing w:before="180" w:beforeLines="50" w:line="288" w:lineRule="auto"/>
        <w:rPr>
          <w:rFonts w:hint="eastAsia" w:eastAsia="宋体"/>
          <w:b/>
          <w:bCs/>
          <w:lang w:val="en-US" w:eastAsia="zh-CN"/>
        </w:rPr>
      </w:pPr>
      <w:r>
        <w:rPr>
          <w:rFonts w:hint="eastAsia" w:cs="Arial"/>
          <w:b/>
          <w:bCs/>
          <w:szCs w:val="21"/>
        </w:rPr>
        <w:t xml:space="preserve">Proposal 7: </w:t>
      </w:r>
      <w:r>
        <w:rPr>
          <w:rFonts w:hint="eastAsia" w:eastAsia="宋体"/>
          <w:b/>
          <w:bCs/>
        </w:rPr>
        <w:t>Paging can indicate the multiple access method of target devices (e.g. TDMA, FDMA, CDMA, etc.)</w:t>
      </w:r>
      <w:r>
        <w:rPr>
          <w:rFonts w:hint="eastAsia" w:eastAsia="宋体"/>
          <w:b/>
          <w:bCs/>
          <w:lang w:val="en-US" w:eastAsia="zh-CN"/>
        </w:rPr>
        <w:t>.</w:t>
      </w:r>
    </w:p>
    <w:p>
      <w:pPr>
        <w:snapToGrid w:val="0"/>
        <w:spacing w:before="180" w:beforeLines="50" w:line="288" w:lineRule="auto"/>
        <w:rPr>
          <w:rFonts w:hint="eastAsia" w:eastAsia="宋体"/>
          <w:b/>
          <w:bCs/>
          <w:lang w:val="en-US" w:eastAsia="zh-CN"/>
        </w:rPr>
      </w:pPr>
      <w:r>
        <w:rPr>
          <w:rFonts w:hint="eastAsia" w:cs="Arial"/>
          <w:b/>
          <w:bCs/>
          <w:szCs w:val="21"/>
        </w:rPr>
        <w:t xml:space="preserve">Proposal 8: </w:t>
      </w:r>
      <w:r>
        <w:rPr>
          <w:rFonts w:hint="eastAsia" w:eastAsia="宋体"/>
          <w:b/>
          <w:bCs/>
        </w:rPr>
        <w:t xml:space="preserve">The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transmission resources (e.g. dedicated and shared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resources) can be contained in A-IoT paging</w:t>
      </w:r>
      <w:r>
        <w:rPr>
          <w:rFonts w:hint="eastAsia" w:eastAsia="宋体"/>
          <w:b/>
          <w:bCs/>
          <w:lang w:val="en-US" w:eastAsia="zh-CN"/>
        </w:rPr>
        <w:t>.</w:t>
      </w:r>
    </w:p>
    <w:p>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eastAsia="宋体"/>
          <w:b/>
          <w:bCs/>
        </w:rPr>
        <w:t>Proposal 9: T</w:t>
      </w:r>
      <w:r>
        <w:rPr>
          <w:rFonts w:hint="eastAsia" w:cs="Arial" w:eastAsiaTheme="minorEastAsia"/>
          <w:b/>
          <w:bCs/>
          <w:color w:val="000000" w:themeColor="text1"/>
          <w14:textFill>
            <w14:solidFill>
              <w14:schemeClr w14:val="tx1"/>
            </w14:solidFill>
          </w14:textFill>
        </w:rPr>
        <w:t>here may be no explicit indication of D2R transmission resources when paging a single device.</w:t>
      </w:r>
    </w:p>
    <w:p>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10: </w:t>
      </w:r>
      <w:r>
        <w:rPr>
          <w:rFonts w:hint="eastAsia" w:cs="Arial" w:eastAsiaTheme="minorEastAsia"/>
          <w:b/>
          <w:bCs/>
          <w:color w:val="000000" w:themeColor="text1"/>
          <w:lang w:val="en-US" w:eastAsia="zh-CN"/>
          <w14:textFill>
            <w14:solidFill>
              <w14:schemeClr w14:val="tx1"/>
            </w14:solidFill>
          </w14:textFill>
        </w:rPr>
        <w:t>RAN2 assume t</w:t>
      </w:r>
      <w:r>
        <w:rPr>
          <w:rFonts w:hint="eastAsia" w:cs="Arial" w:eastAsiaTheme="minorEastAsia"/>
          <w:b/>
          <w:bCs/>
          <w:color w:val="000000" w:themeColor="text1"/>
          <w14:textFill>
            <w14:solidFill>
              <w14:schemeClr w14:val="tx1"/>
            </w14:solidFill>
          </w14:textFill>
        </w:rPr>
        <w:t xml:space="preserve">he number of paged devices can be </w:t>
      </w:r>
      <w:r>
        <w:rPr>
          <w:rFonts w:hint="eastAsia" w:cs="Arial" w:eastAsiaTheme="minorEastAsia"/>
          <w:b/>
          <w:bCs/>
          <w:color w:val="000000" w:themeColor="text1"/>
          <w:lang w:val="en-US" w:eastAsia="zh-CN"/>
          <w14:textFill>
            <w14:solidFill>
              <w14:schemeClr w14:val="tx1"/>
            </w14:solidFill>
          </w14:textFill>
        </w:rPr>
        <w:t>known by gNB</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through explicit parameter from CN or estimated by gNB</w:t>
      </w:r>
      <w:r>
        <w:rPr>
          <w:rFonts w:hint="eastAsia" w:cs="Arial" w:eastAsiaTheme="minorEastAsia"/>
          <w:b/>
          <w:bCs/>
          <w:color w:val="000000" w:themeColor="text1"/>
          <w14:textFill>
            <w14:solidFill>
              <w14:schemeClr w14:val="tx1"/>
            </w14:solidFill>
          </w14:textFill>
        </w:rPr>
        <w:t>. FFS other parameters</w:t>
      </w:r>
    </w:p>
    <w:p>
      <w:pPr>
        <w:overflowPunct/>
        <w:autoSpaceDE/>
        <w:autoSpaceDN/>
        <w:adjustRightInd/>
        <w:snapToGrid w:val="0"/>
        <w:spacing w:before="180" w:beforeLines="50" w:after="0" w:line="288" w:lineRule="auto"/>
        <w:textAlignment w:val="auto"/>
        <w:rPr>
          <w:rFonts w:cs="Arial"/>
          <w:b/>
          <w:bCs/>
          <w:szCs w:val="21"/>
        </w:rPr>
      </w:pPr>
      <w:r>
        <w:rPr>
          <w:rFonts w:hint="eastAsia" w:cs="Arial"/>
          <w:b/>
          <w:bCs/>
          <w:szCs w:val="21"/>
        </w:rPr>
        <w:t>Proposal 1</w:t>
      </w:r>
      <w:r>
        <w:rPr>
          <w:rFonts w:hint="eastAsia" w:cs="Arial" w:eastAsiaTheme="minorEastAsia"/>
          <w:b/>
          <w:bCs/>
          <w:szCs w:val="21"/>
        </w:rPr>
        <w:t>1</w:t>
      </w:r>
      <w:r>
        <w:rPr>
          <w:rFonts w:hint="eastAsia" w:cs="Arial"/>
          <w:b/>
          <w:bCs/>
          <w:szCs w:val="21"/>
        </w:rPr>
        <w:t xml:space="preserve">: With the consideration of support the association, re-association, etc. efficiently, an identifier of the reader or something like A-IoT paging area can be contained in A-IoT paging. </w:t>
      </w:r>
    </w:p>
    <w:p>
      <w:pPr>
        <w:overflowPunct/>
        <w:autoSpaceDE/>
        <w:autoSpaceDN/>
        <w:adjustRightInd/>
        <w:snapToGrid w:val="0"/>
        <w:spacing w:before="180" w:beforeLines="50" w:after="0" w:line="288" w:lineRule="auto"/>
        <w:textAlignment w:val="auto"/>
        <w:rPr>
          <w:rFonts w:cs="Arial"/>
          <w:b/>
          <w:bCs/>
          <w:szCs w:val="21"/>
        </w:rPr>
      </w:pPr>
      <w:r>
        <w:rPr>
          <w:rFonts w:hint="eastAsia" w:cs="Arial"/>
          <w:b/>
          <w:bCs/>
          <w:szCs w:val="21"/>
        </w:rPr>
        <w:t>Proposal 1</w:t>
      </w:r>
      <w:r>
        <w:rPr>
          <w:rFonts w:hint="eastAsia" w:cs="Arial" w:eastAsiaTheme="minorEastAsia"/>
          <w:b/>
          <w:bCs/>
          <w:szCs w:val="21"/>
        </w:rPr>
        <w:t>2</w:t>
      </w:r>
      <w:r>
        <w:rPr>
          <w:rFonts w:hint="eastAsia" w:cs="Arial"/>
          <w:b/>
          <w:bCs/>
          <w:szCs w:val="21"/>
        </w:rPr>
        <w:t>: When different random access procedures (e.g. 2-step CBRA, 4-step CBRA etc.) are supported, an identifier indicates the method of random access may be contained in A-IoT paging.</w:t>
      </w:r>
    </w:p>
    <w:p>
      <w:pPr>
        <w:snapToGrid w:val="0"/>
        <w:spacing w:before="180" w:beforeLines="50" w:line="288" w:lineRule="auto"/>
        <w:rPr>
          <w:rFonts w:cs="Arial"/>
          <w:b/>
          <w:bCs/>
          <w:szCs w:val="21"/>
        </w:rPr>
      </w:pPr>
      <w:r>
        <w:rPr>
          <w:rFonts w:hint="eastAsia" w:cs="Arial"/>
          <w:b/>
          <w:bCs/>
          <w:szCs w:val="21"/>
        </w:rPr>
        <w:t>Proposal 1</w:t>
      </w:r>
      <w:r>
        <w:rPr>
          <w:rFonts w:hint="eastAsia" w:cs="Arial" w:eastAsiaTheme="minorEastAsia"/>
          <w:b/>
          <w:bCs/>
          <w:szCs w:val="21"/>
        </w:rPr>
        <w:t>3</w:t>
      </w:r>
      <w:r>
        <w:rPr>
          <w:rFonts w:hint="eastAsia" w:cs="Arial"/>
          <w:b/>
          <w:bCs/>
          <w:szCs w:val="21"/>
        </w:rPr>
        <w:t>: The A-IoT paging is transmitted on PRDCH by a reader to Ambient IoT devices.</w:t>
      </w:r>
    </w:p>
    <w:p>
      <w:pPr>
        <w:snapToGrid w:val="0"/>
        <w:spacing w:before="180" w:beforeLines="50" w:line="288" w:lineRule="auto"/>
        <w:rPr>
          <w:rFonts w:cs="Arial"/>
          <w:b/>
          <w:bCs/>
          <w:szCs w:val="21"/>
        </w:rPr>
      </w:pPr>
      <w:r>
        <w:rPr>
          <w:rFonts w:hint="eastAsia" w:cs="Arial"/>
          <w:b/>
          <w:bCs/>
          <w:szCs w:val="21"/>
        </w:rPr>
        <w:t>Proposal 1</w:t>
      </w:r>
      <w:r>
        <w:rPr>
          <w:rFonts w:hint="eastAsia" w:cs="Arial" w:eastAsiaTheme="minorEastAsia"/>
          <w:b/>
          <w:bCs/>
          <w:szCs w:val="21"/>
        </w:rPr>
        <w:t>4</w:t>
      </w:r>
      <w:r>
        <w:rPr>
          <w:rFonts w:hint="eastAsia" w:cs="Arial"/>
          <w:b/>
          <w:bCs/>
          <w:szCs w:val="21"/>
        </w:rPr>
        <w:t>: Both gNB-reader-initiated and intermediate UE</w:t>
      </w:r>
      <w:r>
        <w:rPr>
          <w:rFonts w:hint="eastAsia" w:cs="Arial" w:eastAsiaTheme="minorEastAsia"/>
          <w:b/>
          <w:bCs/>
          <w:color w:val="000000" w:themeColor="text1"/>
          <w14:textFill>
            <w14:solidFill>
              <w14:schemeClr w14:val="tx1"/>
            </w14:solidFill>
          </w14:textFill>
        </w:rPr>
        <w:t>-initiated A-IoT paging are not supported in R19</w:t>
      </w:r>
      <w:r>
        <w:rPr>
          <w:rFonts w:hint="eastAsia" w:cs="Arial"/>
          <w:b/>
          <w:bCs/>
          <w:szCs w:val="21"/>
        </w:rPr>
        <w:t>.</w:t>
      </w:r>
    </w:p>
    <w:p>
      <w:pPr>
        <w:snapToGrid w:val="0"/>
        <w:spacing w:before="180" w:beforeLines="50" w:line="288" w:lineRule="auto"/>
        <w:rPr>
          <w:rFonts w:cs="Arial"/>
          <w:b/>
          <w:bCs/>
          <w:szCs w:val="21"/>
        </w:rPr>
      </w:pPr>
      <w:r>
        <w:rPr>
          <w:rFonts w:hint="eastAsia" w:cs="Arial"/>
          <w:b/>
          <w:bCs/>
          <w:szCs w:val="21"/>
        </w:rPr>
        <w:t>Proposal 1</w:t>
      </w:r>
      <w:r>
        <w:rPr>
          <w:rFonts w:hint="eastAsia" w:cs="Arial" w:eastAsiaTheme="minorEastAsia"/>
          <w:b/>
          <w:bCs/>
          <w:szCs w:val="21"/>
        </w:rPr>
        <w:t>5</w:t>
      </w:r>
      <w:r>
        <w:rPr>
          <w:rFonts w:hint="eastAsia" w:cs="Arial"/>
          <w:b/>
          <w:bCs/>
          <w:szCs w:val="21"/>
        </w:rPr>
        <w:t>: A-IoT paging is transmitted in A-IoT MAC layer.</w:t>
      </w:r>
    </w:p>
    <w:p>
      <w:pPr>
        <w:snapToGrid w:val="0"/>
        <w:spacing w:before="180" w:beforeLines="50" w:line="288" w:lineRule="auto"/>
        <w:rPr>
          <w:rFonts w:cs="Arial"/>
          <w:b/>
          <w:bCs/>
          <w:szCs w:val="21"/>
        </w:rPr>
      </w:pPr>
      <w:r>
        <w:rPr>
          <w:rFonts w:hint="eastAsia" w:cs="Arial"/>
          <w:b/>
          <w:bCs/>
          <w:szCs w:val="21"/>
        </w:rPr>
        <w:t>Proposal 1</w:t>
      </w:r>
      <w:r>
        <w:rPr>
          <w:rFonts w:hint="eastAsia" w:cs="Arial" w:eastAsiaTheme="minorEastAsia"/>
          <w:b/>
          <w:bCs/>
          <w:szCs w:val="21"/>
        </w:rPr>
        <w:t>6</w:t>
      </w:r>
      <w:r>
        <w:rPr>
          <w:rFonts w:hint="eastAsia" w:cs="Arial"/>
          <w:b/>
          <w:bCs/>
          <w:szCs w:val="21"/>
        </w:rPr>
        <w:t>: From the perspective of reducing the complexity of A-IoT devices, RAN2 can assume Ambient IoT is an asynchronous system at this stage.</w:t>
      </w:r>
    </w:p>
    <w:p>
      <w:pPr>
        <w:snapToGrid w:val="0"/>
        <w:spacing w:before="180" w:beforeLines="50" w:line="288" w:lineRule="auto"/>
        <w:rPr>
          <w:rFonts w:hint="eastAsia" w:cs="Arial"/>
          <w:b/>
          <w:bCs/>
          <w:szCs w:val="21"/>
        </w:rPr>
      </w:pPr>
      <w:r>
        <w:rPr>
          <w:rFonts w:hint="eastAsia" w:cs="Arial"/>
          <w:b/>
          <w:bCs/>
          <w:szCs w:val="21"/>
        </w:rPr>
        <w:t>Proposal 1</w:t>
      </w:r>
      <w:r>
        <w:rPr>
          <w:rFonts w:hint="eastAsia" w:cs="Arial" w:eastAsiaTheme="minorEastAsia"/>
          <w:b/>
          <w:bCs/>
          <w:szCs w:val="21"/>
        </w:rPr>
        <w:t>7</w:t>
      </w:r>
      <w:r>
        <w:rPr>
          <w:rFonts w:hint="eastAsia" w:cs="Arial"/>
          <w:b/>
          <w:bCs/>
          <w:szCs w:val="21"/>
        </w:rPr>
        <w:t>: If Ambient IoT is defined as an asynchronous system, each Ambient IoT device should always monitors the PRDCH as long as the Ambient IoT device has sufficient energy and has not been deactivated permanently.</w:t>
      </w:r>
    </w:p>
    <w:p>
      <w:pPr>
        <w:snapToGrid w:val="0"/>
        <w:spacing w:before="180" w:beforeLines="50" w:line="288" w:lineRule="auto"/>
        <w:rPr>
          <w:rFonts w:hint="eastAsia" w:eastAsia="宋体" w:cs="Arial"/>
          <w:lang w:eastAsia="zh-CN"/>
        </w:rPr>
      </w:pPr>
      <w:r>
        <w:rPr>
          <w:rFonts w:hint="eastAsia" w:cs="Arial"/>
          <w:b/>
          <w:bCs/>
          <w:szCs w:val="21"/>
        </w:rPr>
        <w:t>Proposal 1</w:t>
      </w:r>
      <w:r>
        <w:rPr>
          <w:rFonts w:hint="eastAsia" w:cs="Arial" w:eastAsiaTheme="minorEastAsia"/>
          <w:b/>
          <w:bCs/>
          <w:szCs w:val="21"/>
          <w:lang w:val="en-US" w:eastAsia="zh-CN"/>
        </w:rPr>
        <w:t>8</w:t>
      </w:r>
      <w:r>
        <w:rPr>
          <w:rFonts w:hint="eastAsia" w:cs="Arial"/>
          <w:b/>
          <w:bCs/>
          <w:szCs w:val="21"/>
        </w:rPr>
        <w:t xml:space="preserve">: </w:t>
      </w:r>
      <w:r>
        <w:rPr>
          <w:rFonts w:hint="eastAsia" w:eastAsia="宋体" w:cs="Arial"/>
          <w:b/>
          <w:bCs/>
          <w:szCs w:val="21"/>
          <w:lang w:val="en-US" w:eastAsia="zh-CN"/>
        </w:rPr>
        <w:t>RNA2 can capture the A-IoT paging procedure shown as Figure 2 to TR as a baseline</w:t>
      </w:r>
      <w:r>
        <w:rPr>
          <w:rFonts w:hint="eastAsia" w:cs="Arial"/>
          <w:b/>
          <w:bCs/>
          <w:szCs w:val="21"/>
        </w:rPr>
        <w:t>.</w:t>
      </w:r>
    </w:p>
    <w:p>
      <w:pPr>
        <w:spacing w:after="0"/>
        <w:jc w:val="center"/>
        <w:rPr>
          <w:rFonts w:hint="eastAsia" w:cs="Arial"/>
          <w:b/>
          <w:bCs/>
          <w:szCs w:val="21"/>
        </w:rPr>
      </w:pPr>
      <w:r>
        <w:rPr>
          <w:rFonts w:cs="Arial" w:eastAsiaTheme="minorEastAsia"/>
          <w:color w:val="000000" w:themeColor="text1"/>
          <w14:textFill>
            <w14:solidFill>
              <w14:schemeClr w14:val="tx1"/>
            </w14:solidFill>
          </w14:textFill>
        </w:rPr>
        <w:object>
          <v:shape id="_x0000_i1027" o:spt="75" type="#_x0000_t75" style="height:131pt;width:482pt;" o:ole="t" filled="f" o:preferrelative="t" stroked="f" coordsize="21600,21600">
            <v:path/>
            <v:fill on="f" focussize="0,0"/>
            <v:stroke on="f" joinstyle="miter"/>
            <v:imagedata r:id="rId14" o:title=""/>
            <o:lock v:ext="edit" aspectratio="f"/>
            <w10:wrap type="none"/>
            <w10:anchorlock/>
          </v:shape>
          <o:OLEObject Type="Embed" ProgID="Visio.Drawing.15" ShapeID="_x0000_i1027" DrawAspect="Content" ObjectID="_1468075727" r:id="rId15">
            <o:LockedField>false</o:LockedField>
          </o:OLEObject>
        </w:object>
      </w:r>
      <w:r>
        <w:rPr>
          <w:rFonts w:cs="Arial"/>
          <w:b/>
          <w:bCs/>
        </w:rPr>
        <w:t xml:space="preserve">Figure </w:t>
      </w:r>
      <w:r>
        <w:rPr>
          <w:rFonts w:hint="eastAsia" w:eastAsia="宋体" w:cs="Arial"/>
          <w:b/>
          <w:bCs/>
          <w:lang w:eastAsia="zh-CN"/>
        </w:rPr>
        <w:t>2</w:t>
      </w:r>
      <w:r>
        <w:rPr>
          <w:rFonts w:cs="Arial"/>
          <w:b/>
          <w:bCs/>
        </w:rPr>
        <w:t xml:space="preserve">: </w:t>
      </w:r>
      <w:r>
        <w:rPr>
          <w:rFonts w:hint="eastAsia" w:eastAsia="宋体" w:cs="Arial"/>
          <w:b/>
          <w:bCs/>
          <w:lang w:eastAsia="zh-CN"/>
        </w:rPr>
        <w:t>General A-IoT paging procedure</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7"/>
        <w:numPr>
          <w:ilvl w:val="0"/>
          <w:numId w:val="16"/>
        </w:numPr>
        <w:overflowPunct/>
        <w:autoSpaceDE/>
        <w:autoSpaceDN/>
        <w:adjustRightInd/>
        <w:spacing w:before="180" w:beforeLines="50" w:after="0"/>
        <w:jc w:val="left"/>
        <w:textAlignment w:val="auto"/>
        <w:rPr>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EPC Radio-Frequency Identity Protocols Generation-2 UHF RFID, v2.0.</w:t>
      </w:r>
      <w:r>
        <w:rPr>
          <w:rFonts w:hint="eastAsia" w:eastAsia="宋体"/>
          <w:color w:val="000000" w:themeColor="text1"/>
          <w14:textFill>
            <w14:solidFill>
              <w14:schemeClr w14:val="tx1"/>
            </w14:solidFill>
          </w14:textFill>
        </w:rPr>
        <w:t>1</w:t>
      </w:r>
      <w:r>
        <w:rPr>
          <w:rFonts w:hint="eastAsia"/>
          <w:color w:val="000000" w:themeColor="text1"/>
          <w14:textFill>
            <w14:solidFill>
              <w14:schemeClr w14:val="tx1"/>
            </w14:solidFill>
          </w14:textFill>
        </w:rPr>
        <w:t>.</w:t>
      </w:r>
    </w:p>
    <w:p>
      <w:pPr>
        <w:pStyle w:val="27"/>
        <w:numPr>
          <w:ilvl w:val="0"/>
          <w:numId w:val="16"/>
        </w:numPr>
        <w:overflowPunct/>
        <w:autoSpaceDE/>
        <w:autoSpaceDN/>
        <w:adjustRightInd/>
        <w:spacing w:before="180" w:beforeLines="50" w:after="0"/>
        <w:jc w:val="left"/>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R1-2401767</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“Session notes for 9.4 Study on solutions for Ambient IoT (Internet of Things) in NR“</w:t>
      </w:r>
      <w:r>
        <w:rPr>
          <w:rFonts w:hint="eastAsia" w:eastAsia="宋体"/>
          <w:color w:val="000000" w:themeColor="text1"/>
          <w14:textFill>
            <w14:solidFill>
              <w14:schemeClr w14:val="tx1"/>
            </w14:solidFill>
          </w14:textFill>
        </w:rPr>
        <w:t xml:space="preserve">, RAN1#116, </w:t>
      </w:r>
      <w:r>
        <w:t>Athens, Greece</w:t>
      </w:r>
      <w:r>
        <w:rPr>
          <w:rFonts w:hint="eastAsia"/>
        </w:rPr>
        <w:t>, Ad-Hoc Chair (Huawei).</w:t>
      </w:r>
    </w:p>
    <w:p>
      <w:pPr>
        <w:pStyle w:val="27"/>
        <w:numPr>
          <w:ilvl w:val="0"/>
          <w:numId w:val="16"/>
        </w:numPr>
        <w:overflowPunct/>
        <w:autoSpaceDE/>
        <w:autoSpaceDN/>
        <w:adjustRightInd/>
        <w:spacing w:before="180" w:beforeLines="50" w:after="0"/>
        <w:jc w:val="left"/>
        <w:textAlignment w:val="auto"/>
        <w:rPr>
          <w:color w:val="000000" w:themeColor="text1"/>
          <w14:textFill>
            <w14:solidFill>
              <w14:schemeClr w14:val="tx1"/>
            </w14:solidFill>
          </w14:textFill>
        </w:rPr>
      </w:pPr>
      <w:r>
        <w:rPr>
          <w:rFonts w:hint="eastAsia"/>
        </w:rPr>
        <w:t xml:space="preserve">R2-2405039, </w:t>
      </w:r>
      <w:r>
        <w:rPr>
          <w:rFonts w:hint="eastAsia"/>
          <w:color w:val="000000" w:themeColor="text1"/>
          <w14:textFill>
            <w14:solidFill>
              <w14:schemeClr w14:val="tx1"/>
            </w14:solidFill>
          </w14:textFill>
        </w:rPr>
        <w:t>“</w:t>
      </w:r>
      <w:r>
        <w:rPr>
          <w:rFonts w:hint="eastAsia"/>
        </w:rPr>
        <w:t>General considerations on A-IoT</w:t>
      </w:r>
      <w:r>
        <w:rPr>
          <w:rFonts w:hint="eastAsia"/>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RAN2#126, Fukuoka, Japan, CMCC.</w:t>
      </w:r>
    </w:p>
    <w:p>
      <w:pPr>
        <w:pStyle w:val="27"/>
        <w:numPr>
          <w:ilvl w:val="0"/>
          <w:numId w:val="16"/>
        </w:numPr>
        <w:overflowPunct/>
        <w:autoSpaceDE/>
        <w:autoSpaceDN/>
        <w:adjustRightInd/>
        <w:spacing w:before="180" w:beforeLines="50" w:after="0"/>
        <w:jc w:val="left"/>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I. V. Ermakov, et. al., An Ultra Low-Power Low-Cost EEPROM for UHF RFID Tags in a Single-Poly 90 nm CMOS Process, IEEE EIConRus, 2020.</w:t>
      </w:r>
    </w:p>
    <w:p>
      <w:pPr>
        <w:pStyle w:val="27"/>
        <w:numPr>
          <w:ilvl w:val="0"/>
          <w:numId w:val="16"/>
        </w:numPr>
        <w:overflowPunct/>
        <w:autoSpaceDE/>
        <w:autoSpaceDN/>
        <w:adjustRightInd/>
        <w:spacing w:before="180" w:beforeLines="50" w:after="0"/>
        <w:jc w:val="left"/>
        <w:textAlignment w:val="auto"/>
        <w:rPr>
          <w:color w:val="000000" w:themeColor="text1"/>
          <w14:textFill>
            <w14:solidFill>
              <w14:schemeClr w14:val="tx1"/>
            </w14:solidFill>
          </w14:textFill>
        </w:rPr>
      </w:pPr>
      <w:r>
        <w:rPr>
          <w:rFonts w:eastAsia="宋体"/>
          <w:color w:val="000000" w:themeColor="text1"/>
          <w14:textFill>
            <w14:solidFill>
              <w14:schemeClr w14:val="tx1"/>
            </w14:solidFill>
          </w14:textFill>
        </w:rPr>
        <w:t>“</w:t>
      </w:r>
      <w:r>
        <w:rPr>
          <w:rFonts w:hint="eastAsia"/>
          <w:color w:val="000000" w:themeColor="text1"/>
          <w14:textFill>
            <w14:solidFill>
              <w14:schemeClr w14:val="tx1"/>
            </w14:solidFill>
          </w14:textFill>
        </w:rPr>
        <w:t>RAN1 Chair’s Notes</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RAN1#116-bis, Changsha, Hunan Province, China.</w:t>
      </w:r>
    </w:p>
    <w:p>
      <w:pPr>
        <w:pStyle w:val="27"/>
        <w:numPr>
          <w:ilvl w:val="0"/>
          <w:numId w:val="16"/>
        </w:numPr>
        <w:overflowPunct/>
        <w:autoSpaceDE/>
        <w:autoSpaceDN/>
        <w:adjustRightInd/>
        <w:spacing w:before="180" w:beforeLines="50" w:after="0"/>
        <w:jc w:val="left"/>
        <w:textAlignment w:val="auto"/>
        <w:rPr>
          <w:color w:val="000000" w:themeColor="text1"/>
          <w14:textFill>
            <w14:solidFill>
              <w14:schemeClr w14:val="tx1"/>
            </w14:solidFill>
          </w14:textFill>
        </w:rPr>
      </w:pPr>
      <w:r>
        <w:rPr>
          <w:rFonts w:hint="eastAsia"/>
        </w:rPr>
        <w:t xml:space="preserve">R2-2405040, </w:t>
      </w:r>
      <w:r>
        <w:rPr>
          <w:rFonts w:hint="eastAsia"/>
          <w:color w:val="000000" w:themeColor="text1"/>
          <w14:textFill>
            <w14:solidFill>
              <w14:schemeClr w14:val="tx1"/>
            </w14:solidFill>
          </w14:textFill>
        </w:rPr>
        <w:t>“</w:t>
      </w:r>
      <w:r>
        <w:rPr>
          <w:rFonts w:hint="eastAsia"/>
        </w:rPr>
        <w:t>Discussion on protocol stack of A-IoT</w:t>
      </w:r>
      <w:r>
        <w:rPr>
          <w:rFonts w:hint="eastAsia"/>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RAN2#126, Fukuoka, Japan, CMCC.</w:t>
      </w:r>
    </w:p>
    <w:p>
      <w:pPr>
        <w:pStyle w:val="27"/>
        <w:numPr>
          <w:ilvl w:val="255"/>
          <w:numId w:val="0"/>
        </w:numPr>
        <w:overflowPunct/>
        <w:autoSpaceDE/>
        <w:autoSpaceDN/>
        <w:adjustRightInd/>
        <w:spacing w:before="180" w:beforeLines="50" w:after="0"/>
        <w:jc w:val="left"/>
        <w:textAlignment w:val="auto"/>
        <w:rPr>
          <w:rFonts w:ascii="Times New Roman" w:hAnsi="Times New Roman" w:eastAsia="宋体"/>
          <w:b/>
          <w:bCs/>
          <w:color w:val="000000" w:themeColor="text1"/>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472554"/>
    <w:multiLevelType w:val="singleLevel"/>
    <w:tmpl w:val="95472554"/>
    <w:lvl w:ilvl="0" w:tentative="0">
      <w:start w:val="1"/>
      <w:numFmt w:val="bullet"/>
      <w:lvlText w:val=""/>
      <w:lvlJc w:val="left"/>
      <w:pPr>
        <w:ind w:left="420" w:hanging="420"/>
      </w:pPr>
      <w:rPr>
        <w:rFonts w:hint="default" w:ascii="Wingdings" w:hAnsi="Wingdings"/>
      </w:rPr>
    </w:lvl>
  </w:abstractNum>
  <w:abstractNum w:abstractNumId="1">
    <w:nsid w:val="E258C585"/>
    <w:multiLevelType w:val="singleLevel"/>
    <w:tmpl w:val="E258C585"/>
    <w:lvl w:ilvl="0" w:tentative="0">
      <w:start w:val="2"/>
      <w:numFmt w:val="decimal"/>
      <w:suff w:val="space"/>
      <w:lvlText w:val="%1."/>
      <w:lvlJc w:val="left"/>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04F5E10E"/>
    <w:multiLevelType w:val="singleLevel"/>
    <w:tmpl w:val="04F5E10E"/>
    <w:lvl w:ilvl="0" w:tentative="0">
      <w:start w:val="1"/>
      <w:numFmt w:val="decimal"/>
      <w:suff w:val="space"/>
      <w:lvlText w:val="[%1]"/>
      <w:lvlJc w:val="left"/>
    </w:lvl>
  </w:abstractNum>
  <w:abstractNum w:abstractNumId="4">
    <w:nsid w:val="18FE16B8"/>
    <w:multiLevelType w:val="singleLevel"/>
    <w:tmpl w:val="18FE16B8"/>
    <w:lvl w:ilvl="0" w:tentative="0">
      <w:start w:val="1"/>
      <w:numFmt w:val="decimal"/>
      <w:suff w:val="space"/>
      <w:lvlText w:val="%1)"/>
      <w:lvlJc w:val="left"/>
    </w:lvl>
  </w:abstractNum>
  <w:abstractNum w:abstractNumId="5">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3F427F5"/>
    <w:multiLevelType w:val="multilevel"/>
    <w:tmpl w:val="73F427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13"/>
  </w:num>
  <w:num w:numId="4">
    <w:abstractNumId w:val="10"/>
  </w:num>
  <w:num w:numId="5">
    <w:abstractNumId w:val="5"/>
  </w:num>
  <w:num w:numId="6">
    <w:abstractNumId w:val="9"/>
  </w:num>
  <w:num w:numId="7">
    <w:abstractNumId w:val="11"/>
  </w:num>
  <w:num w:numId="8">
    <w:abstractNumId w:val="8"/>
  </w:num>
  <w:num w:numId="9">
    <w:abstractNumId w:val="12"/>
  </w:num>
  <w:num w:numId="10">
    <w:abstractNumId w:val="14"/>
  </w:num>
  <w:num w:numId="11">
    <w:abstractNumId w:val="0"/>
  </w:num>
  <w:num w:numId="12">
    <w:abstractNumId w:val="7"/>
  </w:num>
  <w:num w:numId="13">
    <w:abstractNumId w:val="4"/>
  </w:num>
  <w:num w:numId="14">
    <w:abstractNumId w:val="15"/>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9A10AD"/>
    <w:rsid w:val="02291B62"/>
    <w:rsid w:val="02327F93"/>
    <w:rsid w:val="02342ADE"/>
    <w:rsid w:val="02462B1D"/>
    <w:rsid w:val="025E0DEB"/>
    <w:rsid w:val="026415C1"/>
    <w:rsid w:val="026644FB"/>
    <w:rsid w:val="02721693"/>
    <w:rsid w:val="02744528"/>
    <w:rsid w:val="028E39AD"/>
    <w:rsid w:val="02B524D4"/>
    <w:rsid w:val="02D06D9B"/>
    <w:rsid w:val="03675EC4"/>
    <w:rsid w:val="038C6FFE"/>
    <w:rsid w:val="039C0D14"/>
    <w:rsid w:val="03A11802"/>
    <w:rsid w:val="03B27DC8"/>
    <w:rsid w:val="03D41398"/>
    <w:rsid w:val="03F47F88"/>
    <w:rsid w:val="03FC1588"/>
    <w:rsid w:val="0405752A"/>
    <w:rsid w:val="04066807"/>
    <w:rsid w:val="042368D8"/>
    <w:rsid w:val="045F4064"/>
    <w:rsid w:val="047B7D21"/>
    <w:rsid w:val="048A5003"/>
    <w:rsid w:val="04B403C6"/>
    <w:rsid w:val="04E470A0"/>
    <w:rsid w:val="04F50E2F"/>
    <w:rsid w:val="053006B3"/>
    <w:rsid w:val="05416526"/>
    <w:rsid w:val="0556040B"/>
    <w:rsid w:val="05606A49"/>
    <w:rsid w:val="0571302A"/>
    <w:rsid w:val="05983EBC"/>
    <w:rsid w:val="059E36F3"/>
    <w:rsid w:val="05DB4947"/>
    <w:rsid w:val="06261BBF"/>
    <w:rsid w:val="06336531"/>
    <w:rsid w:val="064F648F"/>
    <w:rsid w:val="0654248D"/>
    <w:rsid w:val="06554A79"/>
    <w:rsid w:val="067B2857"/>
    <w:rsid w:val="06842954"/>
    <w:rsid w:val="069756D0"/>
    <w:rsid w:val="06AC1878"/>
    <w:rsid w:val="06B97816"/>
    <w:rsid w:val="07277C50"/>
    <w:rsid w:val="078B5EF9"/>
    <w:rsid w:val="078C1F33"/>
    <w:rsid w:val="07905855"/>
    <w:rsid w:val="07B959B1"/>
    <w:rsid w:val="07EF7893"/>
    <w:rsid w:val="080725BF"/>
    <w:rsid w:val="080F6B2A"/>
    <w:rsid w:val="083F0917"/>
    <w:rsid w:val="086927DD"/>
    <w:rsid w:val="08844E22"/>
    <w:rsid w:val="08AF444E"/>
    <w:rsid w:val="08C72F36"/>
    <w:rsid w:val="08D45C0F"/>
    <w:rsid w:val="0909558C"/>
    <w:rsid w:val="09133D3D"/>
    <w:rsid w:val="09283394"/>
    <w:rsid w:val="099C43EE"/>
    <w:rsid w:val="09D41BD9"/>
    <w:rsid w:val="0A196866"/>
    <w:rsid w:val="0A5B5A3F"/>
    <w:rsid w:val="0A9740DA"/>
    <w:rsid w:val="0AB50E8E"/>
    <w:rsid w:val="0AC5607B"/>
    <w:rsid w:val="0ACB47EC"/>
    <w:rsid w:val="0ACC0F45"/>
    <w:rsid w:val="0B082583"/>
    <w:rsid w:val="0B095C10"/>
    <w:rsid w:val="0B197012"/>
    <w:rsid w:val="0B277F39"/>
    <w:rsid w:val="0B4A1814"/>
    <w:rsid w:val="0B4B7E79"/>
    <w:rsid w:val="0BBD0753"/>
    <w:rsid w:val="0BD168EE"/>
    <w:rsid w:val="0BD60B5C"/>
    <w:rsid w:val="0BFD3B31"/>
    <w:rsid w:val="0C1C1816"/>
    <w:rsid w:val="0C470E59"/>
    <w:rsid w:val="0C604758"/>
    <w:rsid w:val="0C8A2C23"/>
    <w:rsid w:val="0C917641"/>
    <w:rsid w:val="0CAE5B2E"/>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5E6115"/>
    <w:rsid w:val="0E6C63D0"/>
    <w:rsid w:val="0E7D3C55"/>
    <w:rsid w:val="0E863D82"/>
    <w:rsid w:val="0E8665F6"/>
    <w:rsid w:val="0EC152B6"/>
    <w:rsid w:val="0EC440FF"/>
    <w:rsid w:val="0EFD592E"/>
    <w:rsid w:val="0F007C3E"/>
    <w:rsid w:val="0F1D7D7F"/>
    <w:rsid w:val="0F3166DC"/>
    <w:rsid w:val="0F52108C"/>
    <w:rsid w:val="0F581B52"/>
    <w:rsid w:val="0F731FAE"/>
    <w:rsid w:val="0F865924"/>
    <w:rsid w:val="0F8B118C"/>
    <w:rsid w:val="0F9F7322"/>
    <w:rsid w:val="0FCC0A5A"/>
    <w:rsid w:val="0FD348E1"/>
    <w:rsid w:val="0FE0018D"/>
    <w:rsid w:val="0FF61F41"/>
    <w:rsid w:val="10221AC0"/>
    <w:rsid w:val="106A6FF4"/>
    <w:rsid w:val="10817E99"/>
    <w:rsid w:val="108B1C6D"/>
    <w:rsid w:val="10D57E7F"/>
    <w:rsid w:val="10DC4599"/>
    <w:rsid w:val="11043CD0"/>
    <w:rsid w:val="110F10D1"/>
    <w:rsid w:val="11170570"/>
    <w:rsid w:val="11256A9F"/>
    <w:rsid w:val="11257762"/>
    <w:rsid w:val="112C24FB"/>
    <w:rsid w:val="117D2F3D"/>
    <w:rsid w:val="11A63ECA"/>
    <w:rsid w:val="11A65EF9"/>
    <w:rsid w:val="11B82D63"/>
    <w:rsid w:val="11C5063A"/>
    <w:rsid w:val="11E2632C"/>
    <w:rsid w:val="11E82FBA"/>
    <w:rsid w:val="122A2588"/>
    <w:rsid w:val="12AB7443"/>
    <w:rsid w:val="12BA7EC6"/>
    <w:rsid w:val="12C02EFB"/>
    <w:rsid w:val="12C4018F"/>
    <w:rsid w:val="13116F0E"/>
    <w:rsid w:val="13223BB5"/>
    <w:rsid w:val="1333561D"/>
    <w:rsid w:val="134A0035"/>
    <w:rsid w:val="1356560D"/>
    <w:rsid w:val="135C7F4F"/>
    <w:rsid w:val="13784D5C"/>
    <w:rsid w:val="13894EE5"/>
    <w:rsid w:val="139B2C94"/>
    <w:rsid w:val="13F4470A"/>
    <w:rsid w:val="140137CB"/>
    <w:rsid w:val="141B1C76"/>
    <w:rsid w:val="145D29CB"/>
    <w:rsid w:val="14945B6F"/>
    <w:rsid w:val="149A45BB"/>
    <w:rsid w:val="14A20FFB"/>
    <w:rsid w:val="14C03686"/>
    <w:rsid w:val="14DC678B"/>
    <w:rsid w:val="1517641E"/>
    <w:rsid w:val="15204B73"/>
    <w:rsid w:val="152D239E"/>
    <w:rsid w:val="153372CB"/>
    <w:rsid w:val="153F4641"/>
    <w:rsid w:val="15431B89"/>
    <w:rsid w:val="155E7523"/>
    <w:rsid w:val="157306F8"/>
    <w:rsid w:val="158E321A"/>
    <w:rsid w:val="16150413"/>
    <w:rsid w:val="161F262E"/>
    <w:rsid w:val="16465E0D"/>
    <w:rsid w:val="16563130"/>
    <w:rsid w:val="165D26B6"/>
    <w:rsid w:val="169343E9"/>
    <w:rsid w:val="169C3095"/>
    <w:rsid w:val="1745389F"/>
    <w:rsid w:val="174A6BF7"/>
    <w:rsid w:val="17662DBE"/>
    <w:rsid w:val="17792145"/>
    <w:rsid w:val="178070FD"/>
    <w:rsid w:val="179D615B"/>
    <w:rsid w:val="17B67874"/>
    <w:rsid w:val="17D4590F"/>
    <w:rsid w:val="17D9719A"/>
    <w:rsid w:val="17E603C4"/>
    <w:rsid w:val="180E362D"/>
    <w:rsid w:val="182E153A"/>
    <w:rsid w:val="184F5E41"/>
    <w:rsid w:val="18707126"/>
    <w:rsid w:val="18B9619D"/>
    <w:rsid w:val="18E759E8"/>
    <w:rsid w:val="19025819"/>
    <w:rsid w:val="19033043"/>
    <w:rsid w:val="191242AE"/>
    <w:rsid w:val="19765EC2"/>
    <w:rsid w:val="199D1439"/>
    <w:rsid w:val="19F725E3"/>
    <w:rsid w:val="1A081B60"/>
    <w:rsid w:val="1A141D7E"/>
    <w:rsid w:val="1A330485"/>
    <w:rsid w:val="1A6F62AB"/>
    <w:rsid w:val="1A7222BA"/>
    <w:rsid w:val="1A955970"/>
    <w:rsid w:val="1A994196"/>
    <w:rsid w:val="1AA90718"/>
    <w:rsid w:val="1ACD08AB"/>
    <w:rsid w:val="1ACE05A8"/>
    <w:rsid w:val="1ADD03C2"/>
    <w:rsid w:val="1AE34966"/>
    <w:rsid w:val="1AE42895"/>
    <w:rsid w:val="1AEF5DBD"/>
    <w:rsid w:val="1B0345DD"/>
    <w:rsid w:val="1B423649"/>
    <w:rsid w:val="1BA24967"/>
    <w:rsid w:val="1BB6678B"/>
    <w:rsid w:val="1BD63413"/>
    <w:rsid w:val="1BD95F94"/>
    <w:rsid w:val="1BDA5141"/>
    <w:rsid w:val="1BEE39B4"/>
    <w:rsid w:val="1BF469CA"/>
    <w:rsid w:val="1C28439E"/>
    <w:rsid w:val="1C3D1CD0"/>
    <w:rsid w:val="1C5E7298"/>
    <w:rsid w:val="1CBA1329"/>
    <w:rsid w:val="1CC655B2"/>
    <w:rsid w:val="1CCC04FD"/>
    <w:rsid w:val="1CDB4FD9"/>
    <w:rsid w:val="1CE93E16"/>
    <w:rsid w:val="1D28001A"/>
    <w:rsid w:val="1D3908E2"/>
    <w:rsid w:val="1D4666F2"/>
    <w:rsid w:val="1D493715"/>
    <w:rsid w:val="1D9D7001"/>
    <w:rsid w:val="1DA17A2E"/>
    <w:rsid w:val="1DDD518B"/>
    <w:rsid w:val="1E3072B7"/>
    <w:rsid w:val="1E403C53"/>
    <w:rsid w:val="1E7B5C0A"/>
    <w:rsid w:val="1E851282"/>
    <w:rsid w:val="1E8757C6"/>
    <w:rsid w:val="1E886D61"/>
    <w:rsid w:val="1EA01AA4"/>
    <w:rsid w:val="1EA371E8"/>
    <w:rsid w:val="1EAA6DF5"/>
    <w:rsid w:val="1EC25939"/>
    <w:rsid w:val="1ED84F0E"/>
    <w:rsid w:val="1EF34658"/>
    <w:rsid w:val="1F1D5B17"/>
    <w:rsid w:val="1F406414"/>
    <w:rsid w:val="1F5D3E3F"/>
    <w:rsid w:val="1F734328"/>
    <w:rsid w:val="1F7A6B27"/>
    <w:rsid w:val="1FA11974"/>
    <w:rsid w:val="1FE50445"/>
    <w:rsid w:val="20032679"/>
    <w:rsid w:val="20203DE8"/>
    <w:rsid w:val="2031215C"/>
    <w:rsid w:val="204A5285"/>
    <w:rsid w:val="20510598"/>
    <w:rsid w:val="205E6558"/>
    <w:rsid w:val="20790B8D"/>
    <w:rsid w:val="20955704"/>
    <w:rsid w:val="20DB7C51"/>
    <w:rsid w:val="20E22BD6"/>
    <w:rsid w:val="20E9518E"/>
    <w:rsid w:val="20F12FA1"/>
    <w:rsid w:val="211313D4"/>
    <w:rsid w:val="2133032D"/>
    <w:rsid w:val="215A6C10"/>
    <w:rsid w:val="21A92FE0"/>
    <w:rsid w:val="21B87307"/>
    <w:rsid w:val="21D77282"/>
    <w:rsid w:val="21DF0F8F"/>
    <w:rsid w:val="21EC6B2D"/>
    <w:rsid w:val="21ED1832"/>
    <w:rsid w:val="21ED415F"/>
    <w:rsid w:val="21F105D4"/>
    <w:rsid w:val="21F86645"/>
    <w:rsid w:val="221320A1"/>
    <w:rsid w:val="228A52D3"/>
    <w:rsid w:val="22C7596B"/>
    <w:rsid w:val="22EA5D72"/>
    <w:rsid w:val="22F4099F"/>
    <w:rsid w:val="22FA0DE5"/>
    <w:rsid w:val="23707B78"/>
    <w:rsid w:val="23751ADF"/>
    <w:rsid w:val="23847980"/>
    <w:rsid w:val="23FC2962"/>
    <w:rsid w:val="24085D2A"/>
    <w:rsid w:val="24174945"/>
    <w:rsid w:val="24322753"/>
    <w:rsid w:val="245B6D34"/>
    <w:rsid w:val="245E4322"/>
    <w:rsid w:val="2467469A"/>
    <w:rsid w:val="24747FE9"/>
    <w:rsid w:val="24883A94"/>
    <w:rsid w:val="24B82068"/>
    <w:rsid w:val="24E10292"/>
    <w:rsid w:val="25043CC9"/>
    <w:rsid w:val="25056D91"/>
    <w:rsid w:val="251519E5"/>
    <w:rsid w:val="254B171D"/>
    <w:rsid w:val="25594850"/>
    <w:rsid w:val="25653DDF"/>
    <w:rsid w:val="25C53C8A"/>
    <w:rsid w:val="2609650F"/>
    <w:rsid w:val="260A3B09"/>
    <w:rsid w:val="262E3D44"/>
    <w:rsid w:val="26793695"/>
    <w:rsid w:val="26A602C0"/>
    <w:rsid w:val="26C41BFB"/>
    <w:rsid w:val="27115A22"/>
    <w:rsid w:val="273634C5"/>
    <w:rsid w:val="275E7580"/>
    <w:rsid w:val="27606908"/>
    <w:rsid w:val="27757A13"/>
    <w:rsid w:val="27840467"/>
    <w:rsid w:val="279B763B"/>
    <w:rsid w:val="27D314AB"/>
    <w:rsid w:val="280451E0"/>
    <w:rsid w:val="2809471B"/>
    <w:rsid w:val="28304227"/>
    <w:rsid w:val="284303FE"/>
    <w:rsid w:val="28503B0F"/>
    <w:rsid w:val="285478B9"/>
    <w:rsid w:val="28B66881"/>
    <w:rsid w:val="28C82C0F"/>
    <w:rsid w:val="28F13B19"/>
    <w:rsid w:val="293E207B"/>
    <w:rsid w:val="29423CBE"/>
    <w:rsid w:val="29475FA2"/>
    <w:rsid w:val="29BC0105"/>
    <w:rsid w:val="29CD3FA9"/>
    <w:rsid w:val="29FD45DD"/>
    <w:rsid w:val="2A0B70EA"/>
    <w:rsid w:val="2A455191"/>
    <w:rsid w:val="2A5A37DD"/>
    <w:rsid w:val="2A685E6C"/>
    <w:rsid w:val="2A8940C2"/>
    <w:rsid w:val="2A953840"/>
    <w:rsid w:val="2AAD7DB1"/>
    <w:rsid w:val="2AAF3A1A"/>
    <w:rsid w:val="2AC82235"/>
    <w:rsid w:val="2AF754D0"/>
    <w:rsid w:val="2B083F92"/>
    <w:rsid w:val="2B4C42DE"/>
    <w:rsid w:val="2B542A45"/>
    <w:rsid w:val="2B5F5BD2"/>
    <w:rsid w:val="2B641B29"/>
    <w:rsid w:val="2B872ED7"/>
    <w:rsid w:val="2BA00E22"/>
    <w:rsid w:val="2BA93CBA"/>
    <w:rsid w:val="2BE54292"/>
    <w:rsid w:val="2C0A350E"/>
    <w:rsid w:val="2C1F05AE"/>
    <w:rsid w:val="2C5524AE"/>
    <w:rsid w:val="2C7A7425"/>
    <w:rsid w:val="2CCB2770"/>
    <w:rsid w:val="2CE94481"/>
    <w:rsid w:val="2CF51ED1"/>
    <w:rsid w:val="2CFA23BD"/>
    <w:rsid w:val="2D005B4A"/>
    <w:rsid w:val="2D154A4B"/>
    <w:rsid w:val="2D315197"/>
    <w:rsid w:val="2D34054B"/>
    <w:rsid w:val="2D3E7060"/>
    <w:rsid w:val="2D4B3681"/>
    <w:rsid w:val="2D5923F4"/>
    <w:rsid w:val="2D602229"/>
    <w:rsid w:val="2DA074C0"/>
    <w:rsid w:val="2DB6192E"/>
    <w:rsid w:val="2DEF7093"/>
    <w:rsid w:val="2DF33D2D"/>
    <w:rsid w:val="2DF36570"/>
    <w:rsid w:val="2E060E34"/>
    <w:rsid w:val="2E70537D"/>
    <w:rsid w:val="2EAE16B2"/>
    <w:rsid w:val="2EB775B3"/>
    <w:rsid w:val="2ECB4507"/>
    <w:rsid w:val="2EE85B84"/>
    <w:rsid w:val="2F307202"/>
    <w:rsid w:val="2F3B655D"/>
    <w:rsid w:val="2FDB2CCA"/>
    <w:rsid w:val="2FE222AB"/>
    <w:rsid w:val="300246FB"/>
    <w:rsid w:val="305C5681"/>
    <w:rsid w:val="30946552"/>
    <w:rsid w:val="30A72BCE"/>
    <w:rsid w:val="30CE6CD3"/>
    <w:rsid w:val="311B2E7F"/>
    <w:rsid w:val="31332EC2"/>
    <w:rsid w:val="3142695E"/>
    <w:rsid w:val="319D3380"/>
    <w:rsid w:val="31AE180F"/>
    <w:rsid w:val="31C777AC"/>
    <w:rsid w:val="31F77871"/>
    <w:rsid w:val="31FA2453"/>
    <w:rsid w:val="32136FB5"/>
    <w:rsid w:val="324538F7"/>
    <w:rsid w:val="324F174E"/>
    <w:rsid w:val="327E592B"/>
    <w:rsid w:val="32A942B0"/>
    <w:rsid w:val="32BF0681"/>
    <w:rsid w:val="32CF66D3"/>
    <w:rsid w:val="32F13120"/>
    <w:rsid w:val="3324460F"/>
    <w:rsid w:val="332D5F33"/>
    <w:rsid w:val="333663A2"/>
    <w:rsid w:val="33761230"/>
    <w:rsid w:val="33E26367"/>
    <w:rsid w:val="33E34BC5"/>
    <w:rsid w:val="33F614DE"/>
    <w:rsid w:val="340E4D79"/>
    <w:rsid w:val="344A3A8F"/>
    <w:rsid w:val="345D2848"/>
    <w:rsid w:val="346D3EBD"/>
    <w:rsid w:val="34713BFD"/>
    <w:rsid w:val="34914DC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5547B"/>
    <w:rsid w:val="36714388"/>
    <w:rsid w:val="36746B61"/>
    <w:rsid w:val="36A9407C"/>
    <w:rsid w:val="36B67FED"/>
    <w:rsid w:val="36CD1A1D"/>
    <w:rsid w:val="36DD37CC"/>
    <w:rsid w:val="36EB66DD"/>
    <w:rsid w:val="36F32FA8"/>
    <w:rsid w:val="36FA1D41"/>
    <w:rsid w:val="37076A9B"/>
    <w:rsid w:val="372F1B4E"/>
    <w:rsid w:val="373838A6"/>
    <w:rsid w:val="37695E75"/>
    <w:rsid w:val="376D3348"/>
    <w:rsid w:val="37B624AC"/>
    <w:rsid w:val="37C2178A"/>
    <w:rsid w:val="37D57FF5"/>
    <w:rsid w:val="37EA708C"/>
    <w:rsid w:val="37EC51E7"/>
    <w:rsid w:val="381138BC"/>
    <w:rsid w:val="3829480D"/>
    <w:rsid w:val="383529C2"/>
    <w:rsid w:val="383C5BD0"/>
    <w:rsid w:val="385303BE"/>
    <w:rsid w:val="38634DE1"/>
    <w:rsid w:val="38766CAF"/>
    <w:rsid w:val="388727CC"/>
    <w:rsid w:val="388F6678"/>
    <w:rsid w:val="389E45F0"/>
    <w:rsid w:val="38B907D1"/>
    <w:rsid w:val="39024B57"/>
    <w:rsid w:val="39097FF6"/>
    <w:rsid w:val="39282EA2"/>
    <w:rsid w:val="396C6C0E"/>
    <w:rsid w:val="39C916FA"/>
    <w:rsid w:val="3A06167E"/>
    <w:rsid w:val="3A2160C5"/>
    <w:rsid w:val="3A3A54B5"/>
    <w:rsid w:val="3A606BEE"/>
    <w:rsid w:val="3A6E032F"/>
    <w:rsid w:val="3A6F42D5"/>
    <w:rsid w:val="3A82293D"/>
    <w:rsid w:val="3A9E2AD9"/>
    <w:rsid w:val="3AED46B4"/>
    <w:rsid w:val="3B984549"/>
    <w:rsid w:val="3BA1126C"/>
    <w:rsid w:val="3BAA5C47"/>
    <w:rsid w:val="3BB0325D"/>
    <w:rsid w:val="3C1557B6"/>
    <w:rsid w:val="3C4A1903"/>
    <w:rsid w:val="3C4C19E6"/>
    <w:rsid w:val="3C645423"/>
    <w:rsid w:val="3C7605E9"/>
    <w:rsid w:val="3CC72F54"/>
    <w:rsid w:val="3D087ACB"/>
    <w:rsid w:val="3D0F2205"/>
    <w:rsid w:val="3D181E17"/>
    <w:rsid w:val="3D310587"/>
    <w:rsid w:val="3D52573D"/>
    <w:rsid w:val="3D92216E"/>
    <w:rsid w:val="3D956B18"/>
    <w:rsid w:val="3D966C01"/>
    <w:rsid w:val="3DA51E2F"/>
    <w:rsid w:val="3DA90835"/>
    <w:rsid w:val="3DB43891"/>
    <w:rsid w:val="3DE45025"/>
    <w:rsid w:val="3DF56937"/>
    <w:rsid w:val="3E256D47"/>
    <w:rsid w:val="3E5841A9"/>
    <w:rsid w:val="3E636CAD"/>
    <w:rsid w:val="3E817133"/>
    <w:rsid w:val="3F1907ED"/>
    <w:rsid w:val="3F191D76"/>
    <w:rsid w:val="3F6A4798"/>
    <w:rsid w:val="3F814164"/>
    <w:rsid w:val="3FA534A2"/>
    <w:rsid w:val="3FA5569C"/>
    <w:rsid w:val="3FB31752"/>
    <w:rsid w:val="3FBB4CB9"/>
    <w:rsid w:val="402719CB"/>
    <w:rsid w:val="40325295"/>
    <w:rsid w:val="403E59D6"/>
    <w:rsid w:val="406E1939"/>
    <w:rsid w:val="407B234A"/>
    <w:rsid w:val="40F82E28"/>
    <w:rsid w:val="41016309"/>
    <w:rsid w:val="41067DC3"/>
    <w:rsid w:val="41367B0D"/>
    <w:rsid w:val="413D215A"/>
    <w:rsid w:val="41585AC3"/>
    <w:rsid w:val="417C0AFE"/>
    <w:rsid w:val="41AE687F"/>
    <w:rsid w:val="41B34CCB"/>
    <w:rsid w:val="41C576A3"/>
    <w:rsid w:val="41C71445"/>
    <w:rsid w:val="41DD1797"/>
    <w:rsid w:val="41FD2634"/>
    <w:rsid w:val="420610DF"/>
    <w:rsid w:val="422A64D2"/>
    <w:rsid w:val="423E4C42"/>
    <w:rsid w:val="428507B0"/>
    <w:rsid w:val="429544E1"/>
    <w:rsid w:val="42A26B60"/>
    <w:rsid w:val="42AE24C0"/>
    <w:rsid w:val="42BC6118"/>
    <w:rsid w:val="42CE6929"/>
    <w:rsid w:val="42F71CEC"/>
    <w:rsid w:val="43664B49"/>
    <w:rsid w:val="437B5F39"/>
    <w:rsid w:val="439416B6"/>
    <w:rsid w:val="43A15B81"/>
    <w:rsid w:val="43B34232"/>
    <w:rsid w:val="43E76423"/>
    <w:rsid w:val="44094447"/>
    <w:rsid w:val="441831BF"/>
    <w:rsid w:val="44313052"/>
    <w:rsid w:val="443B107F"/>
    <w:rsid w:val="44625310"/>
    <w:rsid w:val="448873A7"/>
    <w:rsid w:val="449E617D"/>
    <w:rsid w:val="44A93256"/>
    <w:rsid w:val="44B14540"/>
    <w:rsid w:val="44BA7E1E"/>
    <w:rsid w:val="44BE79C3"/>
    <w:rsid w:val="44C71617"/>
    <w:rsid w:val="44F05BC3"/>
    <w:rsid w:val="44F72920"/>
    <w:rsid w:val="4509799B"/>
    <w:rsid w:val="45236055"/>
    <w:rsid w:val="45BE6F95"/>
    <w:rsid w:val="45CA31DA"/>
    <w:rsid w:val="45E509B9"/>
    <w:rsid w:val="45EC6821"/>
    <w:rsid w:val="45F303D0"/>
    <w:rsid w:val="460F2E21"/>
    <w:rsid w:val="46205483"/>
    <w:rsid w:val="464004CF"/>
    <w:rsid w:val="465A5E74"/>
    <w:rsid w:val="46B51FCF"/>
    <w:rsid w:val="46BA0199"/>
    <w:rsid w:val="46F030A7"/>
    <w:rsid w:val="47062A9A"/>
    <w:rsid w:val="47290367"/>
    <w:rsid w:val="4738662F"/>
    <w:rsid w:val="474156B1"/>
    <w:rsid w:val="478F28C0"/>
    <w:rsid w:val="47993F84"/>
    <w:rsid w:val="47D516D1"/>
    <w:rsid w:val="480A17DC"/>
    <w:rsid w:val="482C507C"/>
    <w:rsid w:val="484E1C04"/>
    <w:rsid w:val="48564F2E"/>
    <w:rsid w:val="48690AF5"/>
    <w:rsid w:val="4897550A"/>
    <w:rsid w:val="489B7043"/>
    <w:rsid w:val="48C044E1"/>
    <w:rsid w:val="48DF5182"/>
    <w:rsid w:val="490459AC"/>
    <w:rsid w:val="49505853"/>
    <w:rsid w:val="49655FF0"/>
    <w:rsid w:val="496B5A34"/>
    <w:rsid w:val="49852879"/>
    <w:rsid w:val="49B837B2"/>
    <w:rsid w:val="49F20EE5"/>
    <w:rsid w:val="4A084BAC"/>
    <w:rsid w:val="4A233794"/>
    <w:rsid w:val="4A284A82"/>
    <w:rsid w:val="4A317C5F"/>
    <w:rsid w:val="4A4C6847"/>
    <w:rsid w:val="4A662E1D"/>
    <w:rsid w:val="4A7E32B4"/>
    <w:rsid w:val="4A8B7CD0"/>
    <w:rsid w:val="4AB75B88"/>
    <w:rsid w:val="4B090BDC"/>
    <w:rsid w:val="4B1367B9"/>
    <w:rsid w:val="4B316DE7"/>
    <w:rsid w:val="4B5A0D90"/>
    <w:rsid w:val="4B887A7E"/>
    <w:rsid w:val="4B9408CA"/>
    <w:rsid w:val="4BD96981"/>
    <w:rsid w:val="4BF968B4"/>
    <w:rsid w:val="4C03387D"/>
    <w:rsid w:val="4C2425A6"/>
    <w:rsid w:val="4C24278C"/>
    <w:rsid w:val="4C353BC7"/>
    <w:rsid w:val="4C4F7A94"/>
    <w:rsid w:val="4C5D54D6"/>
    <w:rsid w:val="4C814518"/>
    <w:rsid w:val="4C8706A7"/>
    <w:rsid w:val="4C91315E"/>
    <w:rsid w:val="4CAA214F"/>
    <w:rsid w:val="4CAD0872"/>
    <w:rsid w:val="4CBA43C9"/>
    <w:rsid w:val="4CBA7F28"/>
    <w:rsid w:val="4CCE50CA"/>
    <w:rsid w:val="4CD414CD"/>
    <w:rsid w:val="4CDF7E46"/>
    <w:rsid w:val="4CF719D4"/>
    <w:rsid w:val="4CFE47D7"/>
    <w:rsid w:val="4D594475"/>
    <w:rsid w:val="4D9F59B2"/>
    <w:rsid w:val="4DB06342"/>
    <w:rsid w:val="4DCF7EBB"/>
    <w:rsid w:val="4DDC240A"/>
    <w:rsid w:val="4DEC01C6"/>
    <w:rsid w:val="4DF158ED"/>
    <w:rsid w:val="4E121269"/>
    <w:rsid w:val="4E204EC6"/>
    <w:rsid w:val="4E4D0205"/>
    <w:rsid w:val="4E846939"/>
    <w:rsid w:val="4E871374"/>
    <w:rsid w:val="4EB1136E"/>
    <w:rsid w:val="4EC6646B"/>
    <w:rsid w:val="4EC83A06"/>
    <w:rsid w:val="4ED25A8A"/>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6B2DFC"/>
    <w:rsid w:val="507B60D8"/>
    <w:rsid w:val="50853D5B"/>
    <w:rsid w:val="50AB20BF"/>
    <w:rsid w:val="50E33A5C"/>
    <w:rsid w:val="50E64646"/>
    <w:rsid w:val="50F506C5"/>
    <w:rsid w:val="51111EC5"/>
    <w:rsid w:val="512A0952"/>
    <w:rsid w:val="51392F55"/>
    <w:rsid w:val="516A6684"/>
    <w:rsid w:val="518C6DB2"/>
    <w:rsid w:val="51E261D3"/>
    <w:rsid w:val="51FE4105"/>
    <w:rsid w:val="51FE7585"/>
    <w:rsid w:val="52077FD9"/>
    <w:rsid w:val="52446D58"/>
    <w:rsid w:val="5247460D"/>
    <w:rsid w:val="5252299E"/>
    <w:rsid w:val="52734B8D"/>
    <w:rsid w:val="52862B12"/>
    <w:rsid w:val="528F351B"/>
    <w:rsid w:val="528F5E6A"/>
    <w:rsid w:val="52943481"/>
    <w:rsid w:val="52D7336D"/>
    <w:rsid w:val="52E57838"/>
    <w:rsid w:val="532135B5"/>
    <w:rsid w:val="53262784"/>
    <w:rsid w:val="53322A76"/>
    <w:rsid w:val="53B813F1"/>
    <w:rsid w:val="53C54AA3"/>
    <w:rsid w:val="53DB4E1C"/>
    <w:rsid w:val="53EA4849"/>
    <w:rsid w:val="546B361A"/>
    <w:rsid w:val="54754BEC"/>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EF511B"/>
    <w:rsid w:val="55F509A9"/>
    <w:rsid w:val="5627279F"/>
    <w:rsid w:val="564E1B99"/>
    <w:rsid w:val="56A8574D"/>
    <w:rsid w:val="56A90CC7"/>
    <w:rsid w:val="56DD5B92"/>
    <w:rsid w:val="57193F55"/>
    <w:rsid w:val="575B27BF"/>
    <w:rsid w:val="57774004"/>
    <w:rsid w:val="57803ECC"/>
    <w:rsid w:val="57905DD7"/>
    <w:rsid w:val="57E85EAF"/>
    <w:rsid w:val="58151040"/>
    <w:rsid w:val="58240F93"/>
    <w:rsid w:val="58443697"/>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A00F56"/>
    <w:rsid w:val="59AE6D59"/>
    <w:rsid w:val="59B24039"/>
    <w:rsid w:val="59BF439A"/>
    <w:rsid w:val="59C267DF"/>
    <w:rsid w:val="59CE2E24"/>
    <w:rsid w:val="5A025274"/>
    <w:rsid w:val="5A31005C"/>
    <w:rsid w:val="5A405CDC"/>
    <w:rsid w:val="5A5534F6"/>
    <w:rsid w:val="5A6B200F"/>
    <w:rsid w:val="5A8B5169"/>
    <w:rsid w:val="5A997859"/>
    <w:rsid w:val="5AE03BDF"/>
    <w:rsid w:val="5AEB20AC"/>
    <w:rsid w:val="5B225435"/>
    <w:rsid w:val="5B36102A"/>
    <w:rsid w:val="5B3B7C2A"/>
    <w:rsid w:val="5B6B3DAD"/>
    <w:rsid w:val="5B8D1AC1"/>
    <w:rsid w:val="5BA02E96"/>
    <w:rsid w:val="5BA3592C"/>
    <w:rsid w:val="5C610721"/>
    <w:rsid w:val="5C9556C8"/>
    <w:rsid w:val="5CFE4143"/>
    <w:rsid w:val="5D3C6BEF"/>
    <w:rsid w:val="5D921055"/>
    <w:rsid w:val="5D9407D9"/>
    <w:rsid w:val="5DC02502"/>
    <w:rsid w:val="5DDE5D84"/>
    <w:rsid w:val="5E204AD7"/>
    <w:rsid w:val="5E6D4BC0"/>
    <w:rsid w:val="5ED151CF"/>
    <w:rsid w:val="5ED30E8D"/>
    <w:rsid w:val="5F003CAD"/>
    <w:rsid w:val="5F232783"/>
    <w:rsid w:val="5F3E2C2B"/>
    <w:rsid w:val="5F3E69CE"/>
    <w:rsid w:val="5FB959FB"/>
    <w:rsid w:val="5FCA3448"/>
    <w:rsid w:val="5FDC55D3"/>
    <w:rsid w:val="6009519E"/>
    <w:rsid w:val="60191BB5"/>
    <w:rsid w:val="60291B4C"/>
    <w:rsid w:val="60373428"/>
    <w:rsid w:val="604463B0"/>
    <w:rsid w:val="60AD5F5F"/>
    <w:rsid w:val="60B64CF0"/>
    <w:rsid w:val="60C413D5"/>
    <w:rsid w:val="60D528D9"/>
    <w:rsid w:val="60D64E54"/>
    <w:rsid w:val="60E30438"/>
    <w:rsid w:val="60F32B07"/>
    <w:rsid w:val="612D3C7B"/>
    <w:rsid w:val="614C7842"/>
    <w:rsid w:val="61714858"/>
    <w:rsid w:val="61826F89"/>
    <w:rsid w:val="618750DB"/>
    <w:rsid w:val="61D302FF"/>
    <w:rsid w:val="621E2D67"/>
    <w:rsid w:val="622B3B50"/>
    <w:rsid w:val="622C7E43"/>
    <w:rsid w:val="624B2BFA"/>
    <w:rsid w:val="625008DB"/>
    <w:rsid w:val="62732FB5"/>
    <w:rsid w:val="6274090B"/>
    <w:rsid w:val="6280036F"/>
    <w:rsid w:val="6289482D"/>
    <w:rsid w:val="62A17126"/>
    <w:rsid w:val="62BB3D2B"/>
    <w:rsid w:val="62C70D09"/>
    <w:rsid w:val="62C751AC"/>
    <w:rsid w:val="62E70A4E"/>
    <w:rsid w:val="63163FA7"/>
    <w:rsid w:val="632B28CF"/>
    <w:rsid w:val="632C6FC4"/>
    <w:rsid w:val="634B3FF6"/>
    <w:rsid w:val="635A392B"/>
    <w:rsid w:val="639456EF"/>
    <w:rsid w:val="63CF256B"/>
    <w:rsid w:val="63D24FA8"/>
    <w:rsid w:val="63DC6A36"/>
    <w:rsid w:val="63FC6BC5"/>
    <w:rsid w:val="641D68C9"/>
    <w:rsid w:val="6421269A"/>
    <w:rsid w:val="64460ECC"/>
    <w:rsid w:val="644F5E22"/>
    <w:rsid w:val="64D843A5"/>
    <w:rsid w:val="650F6997"/>
    <w:rsid w:val="654A313B"/>
    <w:rsid w:val="658968CB"/>
    <w:rsid w:val="65BE6626"/>
    <w:rsid w:val="65CD2C16"/>
    <w:rsid w:val="661168B9"/>
    <w:rsid w:val="663B46C9"/>
    <w:rsid w:val="663F30CF"/>
    <w:rsid w:val="665534BC"/>
    <w:rsid w:val="66755CDF"/>
    <w:rsid w:val="66947887"/>
    <w:rsid w:val="669C30E9"/>
    <w:rsid w:val="67036A22"/>
    <w:rsid w:val="67117DA9"/>
    <w:rsid w:val="67413BF6"/>
    <w:rsid w:val="676B12B6"/>
    <w:rsid w:val="676F7BC1"/>
    <w:rsid w:val="677B47B7"/>
    <w:rsid w:val="67D27C62"/>
    <w:rsid w:val="67DF6978"/>
    <w:rsid w:val="68074EB7"/>
    <w:rsid w:val="683D458E"/>
    <w:rsid w:val="68405769"/>
    <w:rsid w:val="684A4064"/>
    <w:rsid w:val="687355B1"/>
    <w:rsid w:val="687D44CE"/>
    <w:rsid w:val="68FF3BFF"/>
    <w:rsid w:val="690305C1"/>
    <w:rsid w:val="692869C3"/>
    <w:rsid w:val="693218BC"/>
    <w:rsid w:val="6937536B"/>
    <w:rsid w:val="694E04D2"/>
    <w:rsid w:val="697221BA"/>
    <w:rsid w:val="697734B0"/>
    <w:rsid w:val="698044A5"/>
    <w:rsid w:val="69E7514E"/>
    <w:rsid w:val="69ED6911"/>
    <w:rsid w:val="6A3C0AE8"/>
    <w:rsid w:val="6A510F7A"/>
    <w:rsid w:val="6AA43344"/>
    <w:rsid w:val="6AA67E64"/>
    <w:rsid w:val="6AD96913"/>
    <w:rsid w:val="6AE01A4C"/>
    <w:rsid w:val="6B0D712F"/>
    <w:rsid w:val="6B28575B"/>
    <w:rsid w:val="6B5917AB"/>
    <w:rsid w:val="6B6D51C3"/>
    <w:rsid w:val="6B72763D"/>
    <w:rsid w:val="6B985938"/>
    <w:rsid w:val="6BD51D54"/>
    <w:rsid w:val="6BEB48A9"/>
    <w:rsid w:val="6C3B431E"/>
    <w:rsid w:val="6C5333DB"/>
    <w:rsid w:val="6C611AA1"/>
    <w:rsid w:val="6C77554D"/>
    <w:rsid w:val="6C857DA8"/>
    <w:rsid w:val="6C9003BD"/>
    <w:rsid w:val="6CAB2D5B"/>
    <w:rsid w:val="6CC1587C"/>
    <w:rsid w:val="6D2728FF"/>
    <w:rsid w:val="6D2B74AA"/>
    <w:rsid w:val="6D4C59BC"/>
    <w:rsid w:val="6D6A6E60"/>
    <w:rsid w:val="6D8E3FDC"/>
    <w:rsid w:val="6DB81183"/>
    <w:rsid w:val="6DF102A4"/>
    <w:rsid w:val="6E0F1215"/>
    <w:rsid w:val="6E280F38"/>
    <w:rsid w:val="6E8A21F7"/>
    <w:rsid w:val="6E9C24B0"/>
    <w:rsid w:val="6ECF78C3"/>
    <w:rsid w:val="6EDD18B4"/>
    <w:rsid w:val="6F2867BD"/>
    <w:rsid w:val="6F44559B"/>
    <w:rsid w:val="6F8B6967"/>
    <w:rsid w:val="6F9D54F9"/>
    <w:rsid w:val="6FF30BCF"/>
    <w:rsid w:val="701377D9"/>
    <w:rsid w:val="703A2630"/>
    <w:rsid w:val="70802C87"/>
    <w:rsid w:val="709C594C"/>
    <w:rsid w:val="709D239D"/>
    <w:rsid w:val="70B210EC"/>
    <w:rsid w:val="70D34D1C"/>
    <w:rsid w:val="70D470B3"/>
    <w:rsid w:val="70ED4030"/>
    <w:rsid w:val="71376C0A"/>
    <w:rsid w:val="715B592F"/>
    <w:rsid w:val="71673A17"/>
    <w:rsid w:val="71D05F49"/>
    <w:rsid w:val="71E33685"/>
    <w:rsid w:val="71EB1D54"/>
    <w:rsid w:val="71F862A5"/>
    <w:rsid w:val="72192C03"/>
    <w:rsid w:val="721B22AF"/>
    <w:rsid w:val="72480BB6"/>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9C0220"/>
    <w:rsid w:val="73AB3D2F"/>
    <w:rsid w:val="73B07D7A"/>
    <w:rsid w:val="73BE3A62"/>
    <w:rsid w:val="73F82EA2"/>
    <w:rsid w:val="740069DA"/>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A2463C"/>
    <w:rsid w:val="76B4117C"/>
    <w:rsid w:val="76E817BC"/>
    <w:rsid w:val="76EE218C"/>
    <w:rsid w:val="770A1E47"/>
    <w:rsid w:val="772C4117"/>
    <w:rsid w:val="772E0B03"/>
    <w:rsid w:val="774059AB"/>
    <w:rsid w:val="77833E7F"/>
    <w:rsid w:val="778A542A"/>
    <w:rsid w:val="779C40BA"/>
    <w:rsid w:val="77BE5C84"/>
    <w:rsid w:val="77C177F8"/>
    <w:rsid w:val="77E31CE9"/>
    <w:rsid w:val="77EF5E51"/>
    <w:rsid w:val="77FD749D"/>
    <w:rsid w:val="7806456F"/>
    <w:rsid w:val="7820430F"/>
    <w:rsid w:val="78CE4A5C"/>
    <w:rsid w:val="78FB3062"/>
    <w:rsid w:val="78FC2417"/>
    <w:rsid w:val="79200BB5"/>
    <w:rsid w:val="79237E60"/>
    <w:rsid w:val="79332F0B"/>
    <w:rsid w:val="793A2A7F"/>
    <w:rsid w:val="79440EAD"/>
    <w:rsid w:val="7966337B"/>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8437E3"/>
    <w:rsid w:val="7B9E2E7D"/>
    <w:rsid w:val="7BBA0FB3"/>
    <w:rsid w:val="7BD96177"/>
    <w:rsid w:val="7BF5648F"/>
    <w:rsid w:val="7BFA2DF0"/>
    <w:rsid w:val="7BFD6BE4"/>
    <w:rsid w:val="7C050B07"/>
    <w:rsid w:val="7C254ED3"/>
    <w:rsid w:val="7C2E0D7A"/>
    <w:rsid w:val="7C417926"/>
    <w:rsid w:val="7C5E15FC"/>
    <w:rsid w:val="7C8617DD"/>
    <w:rsid w:val="7C9E7A01"/>
    <w:rsid w:val="7D032E2D"/>
    <w:rsid w:val="7D2E186E"/>
    <w:rsid w:val="7D2E6D4E"/>
    <w:rsid w:val="7D4236BE"/>
    <w:rsid w:val="7D6513F2"/>
    <w:rsid w:val="7D6531A0"/>
    <w:rsid w:val="7D7B6E68"/>
    <w:rsid w:val="7D8F4D8B"/>
    <w:rsid w:val="7D9114D4"/>
    <w:rsid w:val="7D965A4F"/>
    <w:rsid w:val="7DA23C41"/>
    <w:rsid w:val="7DAE458E"/>
    <w:rsid w:val="7DBB54B6"/>
    <w:rsid w:val="7DD14D63"/>
    <w:rsid w:val="7E0773D0"/>
    <w:rsid w:val="7E170980"/>
    <w:rsid w:val="7E184DFC"/>
    <w:rsid w:val="7E1D6516"/>
    <w:rsid w:val="7E3864FF"/>
    <w:rsid w:val="7E525E1A"/>
    <w:rsid w:val="7E5D66DD"/>
    <w:rsid w:val="7E61605D"/>
    <w:rsid w:val="7E620E1C"/>
    <w:rsid w:val="7E734104"/>
    <w:rsid w:val="7E77762F"/>
    <w:rsid w:val="7E8254FA"/>
    <w:rsid w:val="7EDA4FB6"/>
    <w:rsid w:val="7EEE5FCC"/>
    <w:rsid w:val="7F136CC6"/>
    <w:rsid w:val="7F2E279D"/>
    <w:rsid w:val="7F3532A8"/>
    <w:rsid w:val="7F3F4EA7"/>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1"/>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package" Target="embeddings/Microsoft_Visio___3.vsdx"/><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10</Pages>
  <Words>3410</Words>
  <Characters>19443</Characters>
  <Lines>162</Lines>
  <Paragraphs>45</Paragraphs>
  <TotalTime>3</TotalTime>
  <ScaleCrop>false</ScaleCrop>
  <LinksUpToDate>false</LinksUpToDate>
  <CharactersWithSpaces>22808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2024-05-10T09:06:13Z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2052-12.1.0.16729</vt:lpwstr>
  </property>
  <property fmtid="{D5CDD505-2E9C-101B-9397-08002B2CF9AE}" pid="17" name="ICV">
    <vt:lpwstr>88FF7A6996FA415BA02018C510663209_13</vt:lpwstr>
  </property>
</Properties>
</file>